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Parte 3: FDI mediante Escalado Robusto</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Peter F. Halpin</w:t>
      </w:r>
    </w:p>
    <w:bookmarkStart w:colFirst="0" w:colLast="0" w:name="bookmark=id.gjdgxs" w:id="0"/>
    <w:bookmarkEnd w:id="0"/>
    <w:p w:rsidR="00000000" w:rsidDel="00000000" w:rsidP="00000000" w:rsidRDefault="00000000" w:rsidRPr="00000000" w14:paraId="00000003">
      <w:pPr>
        <w:pStyle w:val="Heading2"/>
        <w:rPr/>
      </w:pPr>
      <w:r w:rsidDel="00000000" w:rsidR="00000000" w:rsidRPr="00000000">
        <w:rPr>
          <w:rtl w:val="0"/>
        </w:rPr>
        <w:t xml:space="preserve">Descripción General del Taller</w:t>
      </w:r>
    </w:p>
    <w:p w:rsidR="00000000" w:rsidDel="00000000" w:rsidP="00000000" w:rsidRDefault="00000000" w:rsidRPr="00000000" w14:paraId="0000000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Parte 1. Introducción + análisis factorial + IM</w:t>
      </w:r>
    </w:p>
    <w:p w:rsidR="00000000" w:rsidDel="00000000" w:rsidP="00000000" w:rsidRDefault="00000000" w:rsidRPr="00000000" w14:paraId="0000000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Parte 2. TRI + FDI</w:t>
      </w:r>
    </w:p>
    <w:p w:rsidR="00000000" w:rsidDel="00000000" w:rsidP="00000000" w:rsidRDefault="00000000" w:rsidRPr="00000000" w14:paraId="0000000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Parte 3. Escalamiento robusto + FDI + FDP ${\color{green}\leftarrow}$</w:t>
      </w:r>
    </w:p>
    <w:bookmarkStart w:colFirst="0" w:colLast="0" w:name="bookmark=id.30j0zll" w:id="1"/>
    <w:bookmarkEnd w:id="1"/>
    <w:p w:rsidR="00000000" w:rsidDel="00000000" w:rsidP="00000000" w:rsidRDefault="00000000" w:rsidRPr="00000000" w14:paraId="00000007">
      <w:pPr>
        <w:pStyle w:val="Heading2"/>
        <w:rPr/>
      </w:pPr>
      <w:r w:rsidDel="00000000" w:rsidR="00000000" w:rsidRPr="00000000">
        <w:rPr>
          <w:rtl w:val="0"/>
        </w:rPr>
        <w:t xml:space="preserve">Descripción General de la Parte 2</w:t>
      </w:r>
    </w:p>
    <w:p w:rsidR="00000000" w:rsidDel="00000000" w:rsidP="00000000" w:rsidRDefault="00000000" w:rsidRPr="00000000" w14:paraId="0000000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Escalamiento basado en TRI y su relación con FDI</w:t>
      </w:r>
    </w:p>
    <w:p w:rsidR="00000000" w:rsidDel="00000000" w:rsidP="00000000" w:rsidRDefault="00000000" w:rsidRPr="00000000" w14:paraId="0000000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Escalamiento robusto</w:t>
      </w:r>
    </w:p>
    <w:p w:rsidR="00000000" w:rsidDel="00000000" w:rsidP="00000000" w:rsidRDefault="00000000" w:rsidRPr="00000000" w14:paraId="0000000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Pruebas de FDI basadas en escalamiento robusto</w:t>
      </w:r>
    </w:p>
    <w:p w:rsidR="00000000" w:rsidDel="00000000" w:rsidP="00000000" w:rsidRDefault="00000000" w:rsidRPr="00000000" w14:paraId="0000000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Pruebas de FDP (impacto) basadas en escalamiento robusto</w:t>
      </w:r>
    </w:p>
    <w:p w:rsidR="00000000" w:rsidDel="00000000" w:rsidP="00000000" w:rsidRDefault="00000000" w:rsidRPr="00000000" w14:paraId="0000000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Ejemplo práctico</w:t>
      </w:r>
    </w:p>
    <w:bookmarkStart w:colFirst="0" w:colLast="0" w:name="bookmark=id.1fob9te" w:id="2"/>
    <w:bookmarkEnd w:id="2"/>
    <w:p w:rsidR="00000000" w:rsidDel="00000000" w:rsidP="00000000" w:rsidRDefault="00000000" w:rsidRPr="00000000" w14:paraId="0000000D">
      <w:pPr>
        <w:pStyle w:val="Heading2"/>
        <w:rPr/>
      </w:pPr>
      <w:r w:rsidDel="00000000" w:rsidR="00000000" w:rsidRPr="00000000">
        <w:rPr>
          <w:rtl w:val="0"/>
        </w:rPr>
        <w:t xml:space="preserve">Organización</w:t>
      </w:r>
    </w:p>
    <w:p w:rsidR="00000000" w:rsidDel="00000000" w:rsidP="00000000" w:rsidRDefault="00000000" w:rsidRPr="00000000" w14:paraId="0000000E">
      <w:pPr>
        <w:numPr>
          <w:ilvl w:val="0"/>
          <w:numId w:val="21"/>
        </w:numPr>
        <w:ind w:left="720" w:hanging="480"/>
        <w:rPr/>
      </w:pPr>
      <w:r w:rsidDel="00000000" w:rsidR="00000000" w:rsidRPr="00000000">
        <w:rPr>
          <w:rtl w:val="0"/>
        </w:rPr>
        <w:t xml:space="preserve">Sitio web: </w:t>
      </w:r>
      <w:hyperlink r:id="rId9">
        <w:r w:rsidDel="00000000" w:rsidR="00000000" w:rsidRPr="00000000">
          <w:rPr>
            <w:color w:val="4f81bd"/>
            <w:rtl w:val="0"/>
          </w:rPr>
          <w:t xml:space="preserve">peterhalpin.github.io/RDIF-workshop/</w:t>
        </w:r>
      </w:hyperlink>
      <w:r w:rsidDel="00000000" w:rsidR="00000000" w:rsidRPr="00000000">
        <w:rPr>
          <w:rtl w:val="0"/>
        </w:rPr>
      </w:r>
    </w:p>
    <w:p w:rsidR="00000000" w:rsidDel="00000000" w:rsidP="00000000" w:rsidRDefault="00000000" w:rsidRPr="00000000" w14:paraId="0000000F">
      <w:pPr>
        <w:numPr>
          <w:ilvl w:val="0"/>
          <w:numId w:val="21"/>
        </w:numPr>
        <w:ind w:left="720" w:hanging="480"/>
        <w:rPr/>
      </w:pPr>
      <w:r w:rsidDel="00000000" w:rsidR="00000000" w:rsidRPr="00000000">
        <w:rPr>
          <w:rtl w:val="0"/>
        </w:rPr>
        <w:t xml:space="preserve">Diapositivas: Estas diapositivas en formato HTML</w:t>
      </w:r>
    </w:p>
    <w:p w:rsidR="00000000" w:rsidDel="00000000" w:rsidP="00000000" w:rsidRDefault="00000000" w:rsidRPr="00000000" w14:paraId="00000010">
      <w:pPr>
        <w:numPr>
          <w:ilvl w:val="0"/>
          <w:numId w:val="21"/>
        </w:numPr>
        <w:ind w:left="720" w:hanging="480"/>
        <w:rPr/>
      </w:pPr>
      <w:r w:rsidDel="00000000" w:rsidR="00000000" w:rsidRPr="00000000">
        <w:rPr>
          <w:rtl w:val="0"/>
        </w:rPr>
        <w:t xml:space="preserve">Notas: Estas diapositivas en formato DOCX (traducidas, editables)</w:t>
      </w:r>
    </w:p>
    <w:p w:rsidR="00000000" w:rsidDel="00000000" w:rsidP="00000000" w:rsidRDefault="00000000" w:rsidRPr="00000000" w14:paraId="00000011">
      <w:pPr>
        <w:numPr>
          <w:ilvl w:val="0"/>
          <w:numId w:val="21"/>
        </w:numPr>
        <w:ind w:left="720" w:hanging="480"/>
        <w:rPr/>
      </w:pPr>
      <w:r w:rsidDel="00000000" w:rsidR="00000000" w:rsidRPr="00000000">
        <w:rPr>
          <w:rtl w:val="0"/>
        </w:rPr>
        <w:t xml:space="preserve">Código: Solo el código de estas diapositivas</w:t>
      </w:r>
    </w:p>
    <w:bookmarkStart w:colFirst="0" w:colLast="0" w:name="bookmark=id.3znysh7" w:id="3"/>
    <w:bookmarkEnd w:id="3"/>
    <w:p w:rsidR="00000000" w:rsidDel="00000000" w:rsidP="00000000" w:rsidRDefault="00000000" w:rsidRPr="00000000" w14:paraId="00000012">
      <w:pPr>
        <w:pStyle w:val="Heading1"/>
        <w:rPr/>
      </w:pPr>
      <w:r w:rsidDel="00000000" w:rsidR="00000000" w:rsidRPr="00000000">
        <w:rPr>
          <w:rtl w:val="0"/>
        </w:rPr>
        <w:t xml:space="preserve">Escalamiento basado en TRI y su relación con FDI</w:t>
      </w:r>
    </w:p>
    <w:bookmarkStart w:colFirst="0" w:colLast="0" w:name="bookmark=id.2et92p0" w:id="4"/>
    <w:bookmarkEnd w:id="4"/>
    <w:p w:rsidR="00000000" w:rsidDel="00000000" w:rsidP="00000000" w:rsidRDefault="00000000" w:rsidRPr="00000000" w14:paraId="00000013">
      <w:pPr>
        <w:pStyle w:val="Heading2"/>
        <w:rPr/>
      </w:pPr>
      <w:r w:rsidDel="00000000" w:rsidR="00000000" w:rsidRPr="00000000">
        <w:rPr>
          <w:rtl w:val="0"/>
        </w:rPr>
        <w:t xml:space="preserve">Revisión: Limitaciones del análisis de FDI</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"Ítems ancla"</w:t>
      </w:r>
    </w:p>
    <w:p w:rsidR="00000000" w:rsidDel="00000000" w:rsidP="00000000" w:rsidRDefault="00000000" w:rsidRPr="00000000" w14:paraId="0000001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probar si un ítem tiene FDI, tenemos que asumir que algunos otros ítems no tienen FDI</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anclas son necesarias para estimar impacto, de otra forma las pruebas de FDI se pueden confundir con impacto</w:t>
      </w:r>
    </w:p>
    <w:p w:rsidR="00000000" w:rsidDel="00000000" w:rsidP="00000000" w:rsidRDefault="00000000" w:rsidRPr="00000000" w14:paraId="0000001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Estimar impacto también se llama "escalamiento" – más sobre esto hoy</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Circularidad lógica: ¡Si pudiéramos descubrir cuáles ítems son anclas, podríamos usar ese mismo enfoque en el resto de los ítems, también!!</w:t>
      </w:r>
    </w:p>
    <w:bookmarkStart w:colFirst="0" w:colLast="0" w:name="bookmark=id.tyjcwt" w:id="5"/>
    <w:bookmarkEnd w:id="5"/>
    <w:p w:rsidR="00000000" w:rsidDel="00000000" w:rsidP="00000000" w:rsidRDefault="00000000" w:rsidRPr="00000000" w14:paraId="00000019">
      <w:pPr>
        <w:pStyle w:val="Heading2"/>
        <w:rPr/>
      </w:pPr>
      <w:r w:rsidDel="00000000" w:rsidR="00000000" w:rsidRPr="00000000">
        <w:rPr>
          <w:rtl w:val="0"/>
        </w:rPr>
        <w:t xml:space="preserve">FDI y escalamiento</w:t>
      </w:r>
    </w:p>
    <w:tbl>
      <w:tblPr>
        <w:tblStyle w:val="Table1"/>
        <w:tblW w:w="9360.0" w:type="dxa"/>
        <w:jc w:val="left"/>
        <w:tblLayout w:type="fixed"/>
        <w:tblLook w:val="0000"/>
      </w:tblPr>
      <w:tblGrid>
        <w:gridCol w:w="9360"/>
        <w:tblGridChange w:id="0">
          <w:tblGrid>
            <w:gridCol w:w="9360"/>
          </w:tblGrid>
        </w:tblGridChange>
      </w:tblGrid>
      <w:tr>
        <w:trPr>
          <w:cantSplit w:val="0"/>
          <w:tblHeader w:val="0"/>
        </w:trPr>
        <w:tc>
          <w:tcPr/>
          <w:p w:rsidR="00000000" w:rsidDel="00000000" w:rsidP="00000000" w:rsidRDefault="00000000" w:rsidRPr="00000000" w14:paraId="0000001A">
            <w:pPr>
              <w:jc w:val="center"/>
              <w:rPr/>
            </w:pPr>
            <w:r w:rsidDel="00000000" w:rsidR="00000000" w:rsidRPr="00000000">
              <w:rPr/>
              <w:drawing>
                <wp:inline distB="0" distT="0" distL="0" distR="0">
                  <wp:extent cx="5334000" cy="3000562"/>
                  <wp:effectExtent b="0" l="0" r="0" t="0"/>
                  <wp:docPr id="5"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334000" cy="300056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Objetivo del FDI: comparar ítems entre grupos</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Requisito para el análisis de FDI: escalamiento multigrupo / estimación de impacto</w:t>
      </w:r>
    </w:p>
    <w:bookmarkStart w:colFirst="0" w:colLast="0" w:name="bookmark=id.3dy6vkm" w:id="6"/>
    <w:bookmarkEnd w:id="6"/>
    <w:p w:rsidR="00000000" w:rsidDel="00000000" w:rsidP="00000000" w:rsidRDefault="00000000" w:rsidRPr="00000000" w14:paraId="0000001E">
      <w:pPr>
        <w:pStyle w:val="Heading2"/>
        <w:rPr/>
      </w:pPr>
      <w:r w:rsidDel="00000000" w:rsidR="00000000" w:rsidRPr="00000000">
        <w:rPr>
          <w:rtl w:val="0"/>
        </w:rPr>
        <w:t xml:space="preserve">FDI y escalado</w:t>
      </w:r>
    </w:p>
    <w:tbl>
      <w:tblPr>
        <w:tblStyle w:val="Table2"/>
        <w:tblW w:w="9360.0" w:type="dxa"/>
        <w:jc w:val="left"/>
        <w:tblLayout w:type="fixed"/>
        <w:tblLook w:val="0000"/>
      </w:tblPr>
      <w:tblGrid>
        <w:gridCol w:w="9360"/>
        <w:tblGridChange w:id="0">
          <w:tblGrid>
            <w:gridCol w:w="9360"/>
          </w:tblGrid>
        </w:tblGridChange>
      </w:tblGrid>
      <w:tr>
        <w:trPr>
          <w:cantSplit w:val="0"/>
          <w:tblHeader w:val="0"/>
        </w:trPr>
        <w:tc>
          <w:tcPr/>
          <w:p w:rsidR="00000000" w:rsidDel="00000000" w:rsidP="00000000" w:rsidRDefault="00000000" w:rsidRPr="00000000" w14:paraId="0000001F">
            <w:pPr>
              <w:jc w:val="center"/>
              <w:rPr/>
            </w:pPr>
            <w:r w:rsidDel="00000000" w:rsidR="00000000" w:rsidRPr="00000000">
              <w:rPr/>
              <w:drawing>
                <wp:inline distB="0" distT="0" distL="0" distR="0">
                  <wp:extent cx="5334000" cy="3000562"/>
                  <wp:effectExtent b="0" l="0" r="0" t="0"/>
                  <wp:docPr id="7"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5334000" cy="300056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Selección de ítem ancla: Kopf et al. (2015)</w:t>
      </w:r>
    </w:p>
    <w:p w:rsidR="00000000" w:rsidDel="00000000" w:rsidP="00000000" w:rsidRDefault="00000000" w:rsidRPr="00000000" w14:paraId="000000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Revisión reciente: Teresi et al. (2022)</w:t>
      </w:r>
    </w:p>
    <w:bookmarkStart w:colFirst="0" w:colLast="0" w:name="bookmark=id.1t3h5sf" w:id="7"/>
    <w:bookmarkEnd w:id="7"/>
    <w:p w:rsidR="00000000" w:rsidDel="00000000" w:rsidP="00000000" w:rsidRDefault="00000000" w:rsidRPr="00000000" w14:paraId="00000023">
      <w:pPr>
        <w:pStyle w:val="Heading2"/>
        <w:rPr/>
      </w:pPr>
      <w:r w:rsidDel="00000000" w:rsidR="00000000" w:rsidRPr="00000000">
        <w:rPr>
          <w:rtl w:val="0"/>
        </w:rPr>
        <w:t xml:space="preserve">FDI y escalamiento</w:t>
      </w:r>
    </w:p>
    <w:tbl>
      <w:tblPr>
        <w:tblStyle w:val="Table3"/>
        <w:tblW w:w="9360.0" w:type="dxa"/>
        <w:jc w:val="left"/>
        <w:tblLayout w:type="fixed"/>
        <w:tblLook w:val="0000"/>
      </w:tblPr>
      <w:tblGrid>
        <w:gridCol w:w="9360"/>
        <w:tblGridChange w:id="0">
          <w:tblGrid>
            <w:gridCol w:w="9360"/>
          </w:tblGrid>
        </w:tblGridChange>
      </w:tblGrid>
      <w:tr>
        <w:trPr>
          <w:cantSplit w:val="0"/>
          <w:tblHeader w:val="0"/>
        </w:trPr>
        <w:tc>
          <w:tcPr/>
          <w:p w:rsidR="00000000" w:rsidDel="00000000" w:rsidP="00000000" w:rsidRDefault="00000000" w:rsidRPr="00000000" w14:paraId="00000024">
            <w:pPr>
              <w:jc w:val="center"/>
              <w:rPr/>
            </w:pPr>
            <w:r w:rsidDel="00000000" w:rsidR="00000000" w:rsidRPr="00000000">
              <w:rPr/>
              <w:drawing>
                <wp:inline distB="0" distT="0" distL="0" distR="0">
                  <wp:extent cx="5334000" cy="3000562"/>
                  <wp:effectExtent b="0" l="0" r="0" t="0"/>
                  <wp:docPr id="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334000" cy="300056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Pares de ítems: Bechger &amp; Maris (2015); Yuan et al. (2021);</w:t>
      </w:r>
    </w:p>
    <w:p w:rsidR="00000000" w:rsidDel="00000000" w:rsidP="00000000" w:rsidRDefault="00000000" w:rsidRPr="00000000" w14:paraId="0000002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Regularización: Belzak &amp; Bauer (2020); Magis et al., (2015); Schauberger &amp; Mair (2020)</w:t>
      </w:r>
    </w:p>
    <w:bookmarkStart w:colFirst="0" w:colLast="0" w:name="bookmark=id.4d34og8" w:id="8"/>
    <w:bookmarkEnd w:id="8"/>
    <w:p w:rsidR="00000000" w:rsidDel="00000000" w:rsidP="00000000" w:rsidRDefault="00000000" w:rsidRPr="00000000" w14:paraId="00000028">
      <w:pPr>
        <w:pStyle w:val="Heading2"/>
        <w:rPr/>
      </w:pPr>
      <w:r w:rsidDel="00000000" w:rsidR="00000000" w:rsidRPr="00000000">
        <w:rPr>
          <w:rtl w:val="0"/>
        </w:rPr>
        <w:t xml:space="preserve">FDI y escalamiento</w:t>
      </w:r>
    </w:p>
    <w:tbl>
      <w:tblPr>
        <w:tblStyle w:val="Table4"/>
        <w:tblW w:w="9360.0" w:type="dxa"/>
        <w:jc w:val="left"/>
        <w:tblLayout w:type="fixed"/>
        <w:tblLook w:val="0000"/>
      </w:tblPr>
      <w:tblGrid>
        <w:gridCol w:w="9360"/>
        <w:tblGridChange w:id="0">
          <w:tblGrid>
            <w:gridCol w:w="9360"/>
          </w:tblGrid>
        </w:tblGridChange>
      </w:tblGrid>
      <w:tr>
        <w:trPr>
          <w:cantSplit w:val="0"/>
          <w:tblHeader w:val="0"/>
        </w:trPr>
        <w:tc>
          <w:tcPr/>
          <w:p w:rsidR="00000000" w:rsidDel="00000000" w:rsidP="00000000" w:rsidRDefault="00000000" w:rsidRPr="00000000" w14:paraId="00000029">
            <w:pPr>
              <w:jc w:val="center"/>
              <w:rPr/>
            </w:pPr>
            <w:r w:rsidDel="00000000" w:rsidR="00000000" w:rsidRPr="00000000">
              <w:rPr/>
              <w:drawing>
                <wp:inline distB="0" distT="0" distL="0" distR="0">
                  <wp:extent cx="5334000" cy="3000562"/>
                  <wp:effectExtent b="0" l="0" r="0" t="0"/>
                  <wp:docPr id="9"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334000" cy="300056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Escalamiento: He et al. (2015); He &amp; Cui (2020); Stocking &amp; Lord (1983)</w:t>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FDI: Halpin (2022); Wang et al. (2022)</w:t>
      </w:r>
    </w:p>
    <w:bookmarkStart w:colFirst="0" w:colLast="0" w:name="bookmark=id.2s8eyo1" w:id="9"/>
    <w:bookmarkEnd w:id="9"/>
    <w:p w:rsidR="00000000" w:rsidDel="00000000" w:rsidP="00000000" w:rsidRDefault="00000000" w:rsidRPr="00000000" w14:paraId="0000002D">
      <w:pPr>
        <w:pStyle w:val="Heading2"/>
        <w:rPr/>
      </w:pPr>
      <w:r w:rsidDel="00000000" w:rsidR="00000000" w:rsidRPr="00000000">
        <w:rPr>
          <w:rtl w:val="0"/>
        </w:rPr>
        <w:t xml:space="preserve">¿Qué es el escalamiento?</w:t>
      </w:r>
    </w:p>
    <w:p w:rsidR="00000000" w:rsidDel="00000000" w:rsidP="00000000" w:rsidRDefault="00000000" w:rsidRPr="00000000" w14:paraId="0000002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Permite comparar las puntuaciones de diferentes formas de prueba</w:t>
      </w:r>
    </w:p>
    <w:p w:rsidR="00000000" w:rsidDel="00000000" w:rsidP="00000000" w:rsidRDefault="00000000" w:rsidRPr="00000000" w14:paraId="0000002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Poner dos pruebas "en la misma escala"</w:t>
      </w:r>
    </w:p>
    <w:p w:rsidR="00000000" w:rsidDel="00000000" w:rsidP="00000000" w:rsidRDefault="00000000" w:rsidRPr="00000000" w14:paraId="000000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Principalmente aplicable en pruebas educativas a gran escala</w:t>
      </w:r>
    </w:p>
    <w:p w:rsidR="00000000" w:rsidDel="00000000" w:rsidP="00000000" w:rsidRDefault="00000000" w:rsidRPr="00000000" w14:paraId="0000003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Varias versiones (formas) para la seguridad de la prueba</w:t>
      </w:r>
    </w:p>
    <w:p w:rsidR="00000000" w:rsidDel="00000000" w:rsidP="00000000" w:rsidRDefault="00000000" w:rsidRPr="00000000" w14:paraId="0000003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Diferentes pruebas administradas en diferentes  momentos del tiempo</w:t>
      </w:r>
    </w:p>
    <w:p w:rsidR="00000000" w:rsidDel="00000000" w:rsidP="00000000" w:rsidRDefault="00000000" w:rsidRPr="00000000" w14:paraId="0000003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TOEFL, SAT, ACT, GRE, …</w:t>
      </w:r>
    </w:p>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Kolen, M. J., &amp; Brennan, R. L. (2014). Test Equating, Scaling, and Linking. Springer</w:t>
      </w:r>
    </w:p>
    <w:bookmarkStart w:colFirst="0" w:colLast="0" w:name="bookmark=id.17dp8vu" w:id="10"/>
    <w:bookmarkEnd w:id="10"/>
    <w:p w:rsidR="00000000" w:rsidDel="00000000" w:rsidP="00000000" w:rsidRDefault="00000000" w:rsidRPr="00000000" w14:paraId="00000035">
      <w:pPr>
        <w:pStyle w:val="Heading2"/>
        <w:rPr/>
      </w:pPr>
      <w:r w:rsidDel="00000000" w:rsidR="00000000" w:rsidRPr="00000000">
        <w:rPr>
          <w:rtl w:val="0"/>
        </w:rPr>
        <w:t xml:space="preserve">Tipos de escalamiento</w:t>
      </w:r>
    </w:p>
    <w:p w:rsidR="00000000" w:rsidDel="00000000" w:rsidP="00000000" w:rsidRDefault="00000000" w:rsidRPr="00000000" w14:paraId="00000036">
      <w:pPr>
        <w:numPr>
          <w:ilvl w:val="0"/>
          <w:numId w:val="17"/>
        </w:numPr>
        <w:ind w:left="720" w:hanging="480"/>
        <w:rPr/>
      </w:pPr>
      <w:r w:rsidDel="00000000" w:rsidR="00000000" w:rsidRPr="00000000">
        <w:rPr>
          <w:rtl w:val="0"/>
        </w:rPr>
        <w:t xml:space="preserve">Puntuaciones de prueba: Puntuaciones observadas vs puntuaciones basadas en TRI</w:t>
      </w:r>
    </w:p>
    <w:p w:rsidR="00000000" w:rsidDel="00000000" w:rsidP="00000000" w:rsidRDefault="00000000" w:rsidRPr="00000000" w14:paraId="00000037">
      <w:pPr>
        <w:numPr>
          <w:ilvl w:val="0"/>
          <w:numId w:val="17"/>
        </w:numPr>
        <w:ind w:left="720" w:hanging="480"/>
        <w:rPr/>
      </w:pPr>
      <w:r w:rsidDel="00000000" w:rsidR="00000000" w:rsidRPr="00000000">
        <w:rPr>
          <w:rtl w:val="0"/>
        </w:rPr>
        <w:t xml:space="preserve">Modelos para puntuaciones basadas en TRI: Calibración concurrente (modelos multigrupo) vs calibración separada (modelos separados)</w:t>
      </w:r>
    </w:p>
    <w:p w:rsidR="00000000" w:rsidDel="00000000" w:rsidP="00000000" w:rsidRDefault="00000000" w:rsidRPr="00000000" w14:paraId="00000038">
      <w:pPr>
        <w:numPr>
          <w:ilvl w:val="0"/>
          <w:numId w:val="17"/>
        </w:numPr>
        <w:ind w:left="720" w:hanging="480"/>
        <w:rPr/>
      </w:pPr>
      <w:r w:rsidDel="00000000" w:rsidR="00000000" w:rsidRPr="00000000">
        <w:rPr>
          <w:rtl w:val="0"/>
        </w:rPr>
        <w:t xml:space="preserve">Diseño de investigación: grupos equivalentes vs grupos no equivalentes, ítems de prueba diferentes o superpuestos</w:t>
      </w:r>
    </w:p>
    <w:bookmarkStart w:colFirst="0" w:colLast="0" w:name="bookmark=id.3rdcrjn" w:id="11"/>
    <w:bookmarkEnd w:id="11"/>
    <w:p w:rsidR="00000000" w:rsidDel="00000000" w:rsidP="00000000" w:rsidRDefault="00000000" w:rsidRPr="00000000" w14:paraId="00000039">
      <w:pPr>
        <w:pStyle w:val="Heading2"/>
        <w:rPr/>
      </w:pPr>
      <w:r w:rsidDel="00000000" w:rsidR="00000000" w:rsidRPr="00000000">
        <w:rPr>
          <w:rtl w:val="0"/>
        </w:rPr>
        <w:t xml:space="preserve">Tipos de escalamiento</w:t>
      </w:r>
    </w:p>
    <w:p w:rsidR="00000000" w:rsidDel="00000000" w:rsidP="00000000" w:rsidRDefault="00000000" w:rsidRPr="00000000" w14:paraId="0000003A">
      <w:pPr>
        <w:numPr>
          <w:ilvl w:val="0"/>
          <w:numId w:val="38"/>
        </w:numPr>
        <w:ind w:left="720" w:hanging="480"/>
        <w:rPr/>
      </w:pPr>
      <w:r w:rsidDel="00000000" w:rsidR="00000000" w:rsidRPr="00000000">
        <w:rPr>
          <w:rtl w:val="0"/>
        </w:rPr>
        <w:t xml:space="preserve">Puntuaciones de prueba: Puntuaciones observadas vs </w:t>
      </w:r>
      <w:r w:rsidDel="00000000" w:rsidR="00000000" w:rsidRPr="00000000">
        <w:rPr>
          <w:b w:val="1"/>
          <w:rtl w:val="0"/>
        </w:rPr>
        <w:t xml:space="preserve">puntuaciones basadas en TRI</w:t>
      </w:r>
      <w:r w:rsidDel="00000000" w:rsidR="00000000" w:rsidRPr="00000000">
        <w:rPr>
          <w:rtl w:val="0"/>
        </w:rPr>
      </w:r>
    </w:p>
    <w:p w:rsidR="00000000" w:rsidDel="00000000" w:rsidP="00000000" w:rsidRDefault="00000000" w:rsidRPr="00000000" w14:paraId="0000003B">
      <w:pPr>
        <w:numPr>
          <w:ilvl w:val="0"/>
          <w:numId w:val="38"/>
        </w:numPr>
        <w:ind w:left="720" w:hanging="480"/>
        <w:rPr/>
      </w:pPr>
      <w:r w:rsidDel="00000000" w:rsidR="00000000" w:rsidRPr="00000000">
        <w:rPr>
          <w:rtl w:val="0"/>
        </w:rPr>
        <w:t xml:space="preserve">Modelos para puntuaciones basadas en TRI: Calibración concurrente (modelos multigrupo) vs</w:t>
      </w:r>
      <w:r w:rsidDel="00000000" w:rsidR="00000000" w:rsidRPr="00000000">
        <w:rPr>
          <w:b w:val="1"/>
          <w:rtl w:val="0"/>
        </w:rPr>
        <w:t xml:space="preserve"> calibración separada (modelos separados)</w:t>
      </w:r>
      <w:r w:rsidDel="00000000" w:rsidR="00000000" w:rsidRPr="00000000">
        <w:rPr>
          <w:rtl w:val="0"/>
        </w:rPr>
      </w:r>
    </w:p>
    <w:p w:rsidR="00000000" w:rsidDel="00000000" w:rsidP="00000000" w:rsidRDefault="00000000" w:rsidRPr="00000000" w14:paraId="0000003C">
      <w:pPr>
        <w:numPr>
          <w:ilvl w:val="0"/>
          <w:numId w:val="38"/>
        </w:numPr>
        <w:ind w:left="720" w:hanging="480"/>
        <w:rPr/>
      </w:pPr>
      <w:r w:rsidDel="00000000" w:rsidR="00000000" w:rsidRPr="00000000">
        <w:rPr>
          <w:rtl w:val="0"/>
        </w:rPr>
        <w:t xml:space="preserve">Diseño de investigación: grupos equivalentes vs “grupos no equivalentes”, ítems de prueba </w:t>
      </w:r>
      <w:r w:rsidDel="00000000" w:rsidR="00000000" w:rsidRPr="00000000">
        <w:rPr>
          <w:b w:val="1"/>
          <w:rtl w:val="0"/>
        </w:rPr>
        <w:t xml:space="preserve">diferentes o</w:t>
      </w:r>
      <w:r w:rsidDel="00000000" w:rsidR="00000000" w:rsidRPr="00000000">
        <w:rPr>
          <w:rtl w:val="0"/>
        </w:rPr>
        <w:t xml:space="preserve"> que se traslapan</w:t>
      </w:r>
    </w:p>
    <w:bookmarkStart w:colFirst="0" w:colLast="0" w:name="bookmark=id.26in1rg" w:id="12"/>
    <w:bookmarkEnd w:id="12"/>
    <w:p w:rsidR="00000000" w:rsidDel="00000000" w:rsidP="00000000" w:rsidRDefault="00000000" w:rsidRPr="00000000" w14:paraId="0000003D">
      <w:pPr>
        <w:pStyle w:val="Heading2"/>
        <w:rPr/>
      </w:pPr>
      <w:r w:rsidDel="00000000" w:rsidR="00000000" w:rsidRPr="00000000">
        <w:rPr>
          <w:rtl w:val="0"/>
        </w:rPr>
        <w:t xml:space="preserve">Ítems comparables, grupos no equivalentes (CINEG por su nombre en inglés)</w:t>
      </w:r>
    </w:p>
    <w:p w:rsidR="00000000" w:rsidDel="00000000" w:rsidP="00000000" w:rsidRDefault="00000000" w:rsidRPr="00000000" w14:paraId="0000003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Dos (o más) grupos de encuestados no equivalentes</w:t>
      </w:r>
    </w:p>
    <w:p w:rsidR="00000000" w:rsidDel="00000000" w:rsidP="00000000" w:rsidRDefault="00000000" w:rsidRPr="00000000" w14:paraId="0000003F">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SAT de otoño vs primavera</w:t>
      </w:r>
    </w:p>
    <w:p w:rsidR="00000000" w:rsidDel="00000000" w:rsidP="00000000" w:rsidRDefault="00000000" w:rsidRPr="00000000" w14:paraId="0000004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Ítems parcialmente traslapados</w:t>
      </w:r>
    </w:p>
    <w:p w:rsidR="00000000" w:rsidDel="00000000" w:rsidP="00000000" w:rsidRDefault="00000000" w:rsidRPr="00000000" w14:paraId="00000041">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Ítems ancla, aparecen en ambas formas de la prueba</w:t>
      </w:r>
    </w:p>
    <w:p w:rsidR="00000000" w:rsidDel="00000000" w:rsidP="00000000" w:rsidRDefault="00000000" w:rsidRPr="00000000" w14:paraId="00000042">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Ítems separados, aparecen solo en una forma de la prueba</w:t>
      </w:r>
    </w:p>
    <w:p w:rsidR="00000000" w:rsidDel="00000000" w:rsidP="00000000" w:rsidRDefault="00000000" w:rsidRPr="00000000" w14:paraId="0000004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Escalado CINEG: asume que los ítems ancla tienen los mismos parámetros de ítem en ambos grupos</w:t>
      </w:r>
    </w:p>
    <w:bookmarkStart w:colFirst="0" w:colLast="0" w:name="bookmark=id.lnxbz9" w:id="13"/>
    <w:bookmarkEnd w:id="13"/>
    <w:p w:rsidR="00000000" w:rsidDel="00000000" w:rsidP="00000000" w:rsidRDefault="00000000" w:rsidRPr="00000000" w14:paraId="00000044">
      <w:pPr>
        <w:pStyle w:val="Heading2"/>
        <w:rPr/>
      </w:pPr>
      <w:r w:rsidDel="00000000" w:rsidR="00000000" w:rsidRPr="00000000">
        <w:rPr>
          <w:rtl w:val="0"/>
        </w:rPr>
        <w:t xml:space="preserve">CINEG es formalmente lo mismo que IM / FDI</w:t>
      </w:r>
    </w:p>
    <w:p w:rsidR="00000000" w:rsidDel="00000000" w:rsidP="00000000" w:rsidRDefault="00000000" w:rsidRPr="00000000" w14:paraId="0000004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"grupos de encuestados no equivalentes" = impacto</w:t>
      </w:r>
    </w:p>
    <w:p w:rsidR="00000000" w:rsidDel="00000000" w:rsidP="00000000" w:rsidRDefault="00000000" w:rsidRPr="00000000" w14:paraId="0000004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"asume que los ítems ancla tienen los mismos parámetros de ítem en ambos grupos" = invariancia</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4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Escalamiento robusto: considera que algunas anclas se desempeñan de manera diferente en grupos = FDI</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4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Diferente aplicación: En el escalamiento, los grupos de encuestados se definen por qué prueba tomaron, no por grupos sociales preexistentes</w:t>
      </w:r>
    </w:p>
    <w:bookmarkStart w:colFirst="0" w:colLast="0" w:name="bookmark=id.35nkun2" w:id="14"/>
    <w:bookmarkEnd w:id="14"/>
    <w:p w:rsidR="00000000" w:rsidDel="00000000" w:rsidP="00000000" w:rsidRDefault="00000000" w:rsidRPr="00000000" w14:paraId="0000004B">
      <w:pPr>
        <w:pStyle w:val="Heading2"/>
        <w:rPr/>
      </w:pPr>
      <w:r w:rsidDel="00000000" w:rsidR="00000000" w:rsidRPr="00000000">
        <w:rPr>
          <w:rtl w:val="0"/>
        </w:rPr>
        <w:t xml:space="preserve">Cómo funciona: Funciones de escalamiento</w:t>
      </w:r>
    </w:p>
    <w:p w:rsidR="00000000" w:rsidDel="00000000" w:rsidP="00000000" w:rsidRDefault="00000000" w:rsidRPr="00000000" w14:paraId="0000004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Suponemos:</w:t>
      </w:r>
    </w:p>
    <w:p w:rsidR="00000000" w:rsidDel="00000000" w:rsidP="00000000" w:rsidRDefault="00000000" w:rsidRPr="00000000" w14:paraId="0000004D">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m:oMath>
        <m:r>
          <m:t>θ</m:t>
        </m:r>
        <m:r>
          <m:t>∼</m:t>
        </m:r>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0,1</m:t>
            </m:r>
          </m:e>
        </m:d>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 el grupo de referencia</w:t>
      </w:r>
    </w:p>
    <w:p w:rsidR="00000000" w:rsidDel="00000000" w:rsidP="00000000" w:rsidRDefault="00000000" w:rsidRPr="00000000" w14:paraId="0000004E">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m:oMath>
        <m:r>
          <m:t>θ</m:t>
        </m:r>
        <m:r>
          <m:t>∼</m:t>
        </m:r>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μ</m:t>
            </m:r>
            <m:r>
              <w:rPr>
                <w:rFonts w:ascii="Cambria Math" w:cs="Cambria Math" w:eastAsia="Cambria Math" w:hAnsi="Cambria Math"/>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σ</m:t>
            </m:r>
          </m:e>
        </m:d>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en el grupo de comparación</w:t>
      </w:r>
    </w:p>
    <w:p w:rsidR="00000000" w:rsidDel="00000000" w:rsidP="00000000" w:rsidRDefault="00000000" w:rsidRPr="00000000" w14:paraId="0000004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el contexto del escalamiento, </w:t>
      </w:r>
      <m:oMath>
        <m:r>
          <m:t>μ</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y </w:t>
      </w:r>
      <m:oMath>
        <m:r>
          <m:t>σ</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 llaman</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parámetros de escalamiento</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 conocemos estos parámetros, podemos poner dos formas de prueba en la misma escala</w:t>
      </w:r>
    </w:p>
    <w:p w:rsidR="00000000" w:rsidDel="00000000" w:rsidP="00000000" w:rsidRDefault="00000000" w:rsidRPr="00000000" w14:paraId="0000005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Anteriormente, hablamos sobre estos mismos parámetros en términos de</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impacto.</w:t>
      </w:r>
      <w:r w:rsidDel="00000000" w:rsidR="00000000" w:rsidRPr="00000000">
        <w:rPr>
          <w:rtl w:val="0"/>
        </w:rPr>
      </w:r>
    </w:p>
    <w:bookmarkStart w:colFirst="0" w:colLast="0" w:name="bookmark=id.1ksv4uv" w:id="15"/>
    <w:bookmarkEnd w:id="15"/>
    <w:p w:rsidR="00000000" w:rsidDel="00000000" w:rsidP="00000000" w:rsidRDefault="00000000" w:rsidRPr="00000000" w14:paraId="00000052">
      <w:pPr>
        <w:pStyle w:val="Heading2"/>
        <w:rPr/>
      </w:pPr>
      <w:r w:rsidDel="00000000" w:rsidR="00000000" w:rsidRPr="00000000">
        <w:rPr>
          <w:rtl w:val="0"/>
        </w:rPr>
        <w:t xml:space="preserve">Cómo funciona: Funciones de escalamiento</w:t>
      </w:r>
    </w:p>
    <w:p w:rsidR="00000000" w:rsidDel="00000000" w:rsidP="00000000" w:rsidRDefault="00000000" w:rsidRPr="00000000" w14:paraId="00000053">
      <w:pPr>
        <w:numPr>
          <w:ilvl w:val="0"/>
          <w:numId w:val="36"/>
        </w:numPr>
        <w:ind w:left="720" w:hanging="480"/>
        <w:rPr/>
      </w:pPr>
      <w:r w:rsidDel="00000000" w:rsidR="00000000" w:rsidRPr="00000000">
        <w:rPr>
          <w:rtl w:val="0"/>
        </w:rPr>
        <w:t xml:space="preserve">funciones de escalamiento se utilizan para calcular los parámetros de escalamiento usando los parámetros de los ítems</w:t>
      </w:r>
    </w:p>
    <w:p w:rsidR="00000000" w:rsidDel="00000000" w:rsidP="00000000" w:rsidRDefault="00000000" w:rsidRPr="00000000" w14:paraId="00000054">
      <w:pPr>
        <w:numPr>
          <w:ilvl w:val="0"/>
          <w:numId w:val="36"/>
        </w:numPr>
        <w:ind w:left="720" w:hanging="480"/>
        <w:rPr/>
      </w:pPr>
      <w:r w:rsidDel="00000000" w:rsidR="00000000" w:rsidRPr="00000000">
        <w:rPr>
          <w:rtl w:val="0"/>
        </w:rPr>
        <w:t xml:space="preserve">por ejemplo, escalado "media-media" para el modelo 2PL</w:t>
      </w:r>
    </w:p>
    <w:p w:rsidR="00000000" w:rsidDel="00000000" w:rsidP="00000000" w:rsidRDefault="00000000" w:rsidRPr="00000000" w14:paraId="00000055">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vertAlign w:val="baseline"/>
        </w:rPr>
      </w:pPr>
      <m:oMath>
        <m:r>
          <m:t>σ</m:t>
        </m:r>
        <m:r>
          <w:rPr>
            <w:rFonts w:ascii="Cambria Math" w:cs="Cambria Math" w:eastAsia="Cambria Math" w:hAnsi="Cambria Math"/>
            <w:b w:val="0"/>
            <w:i w:val="0"/>
            <w:smallCaps w:val="0"/>
            <w:strike w:val="0"/>
            <w:color w:val="000000"/>
            <w:sz w:val="24"/>
            <w:szCs w:val="24"/>
            <w:u w:val="none"/>
            <w:vertAlign w:val="baseline"/>
          </w:rPr>
          <m:t xml:space="preserve">=</m:t>
        </m:r>
        <m:r>
          <w:rPr>
            <w:rFonts w:ascii="Cambria" w:cs="Cambria" w:eastAsia="Cambria" w:hAnsi="Cambria"/>
            <w:b w:val="0"/>
            <w:i w:val="0"/>
            <w:smallCaps w:val="0"/>
            <w:strike w:val="0"/>
            <w:color w:val="000000"/>
            <w:sz w:val="24"/>
            <w:szCs w:val="24"/>
            <w:u w:val="none"/>
            <w:vertAlign w:val="baseline"/>
          </w:rPr>
          <m:t xml:space="preserve">media</m:t>
        </m:r>
        <m:d>
          <m:dPr>
            <m:begChr m:val="("/>
            <m:endChr m:val=")"/>
            <m:ctrlPr>
              <w:rPr>
                <w:rFonts w:ascii="Cambria" w:cs="Cambria" w:eastAsia="Cambria" w:hAnsi="Cambria"/>
                <w:b w:val="0"/>
                <w:i w:val="0"/>
                <w:smallCaps w:val="0"/>
                <w:strike w:val="0"/>
                <w:color w:val="000000"/>
                <w:sz w:val="24"/>
                <w:szCs w:val="24"/>
                <w:u w:val="none"/>
                <w:vertAlign w:val="baseline"/>
              </w:rPr>
            </m:ctrlPr>
          </m:dPr>
          <m:e>
            <m:sSub>
              <m:sSubPr>
                <m:ctrlPr>
                  <w:rPr>
                    <w:rFonts w:ascii="Cambria Math" w:cs="Cambria Math" w:eastAsia="Cambria Math" w:hAnsi="Cambria Math"/>
                    <w:b w:val="0"/>
                    <w:i w:val="0"/>
                    <w:smallCaps w:val="0"/>
                    <w:strike w:val="0"/>
                    <w:color w:val="000000"/>
                    <w:sz w:val="24"/>
                    <w:szCs w:val="24"/>
                    <w:u w:val="none"/>
                    <w:vertAlign w:val="baseline"/>
                  </w:rPr>
                </m:ctrlPr>
              </m:sSubPr>
              <m:e>
                <m:r>
                  <w:rPr>
                    <w:rFonts w:ascii="Cambria Math" w:cs="Cambria Math" w:eastAsia="Cambria Math" w:hAnsi="Cambria Math"/>
                    <w:b w:val="0"/>
                    <w:i w:val="0"/>
                    <w:smallCaps w:val="0"/>
                    <w:strike w:val="0"/>
                    <w:color w:val="000000"/>
                    <w:sz w:val="24"/>
                    <w:szCs w:val="24"/>
                    <w:u w:val="none"/>
                    <w:vertAlign w:val="baseline"/>
                  </w:rPr>
                  <m:t xml:space="preserve">a</m:t>
                </m:r>
              </m:e>
              <m:sub>
                <m:r>
                  <w:rPr>
                    <w:rFonts w:ascii="Cambria Math" w:cs="Cambria Math" w:eastAsia="Cambria Math" w:hAnsi="Cambria Math"/>
                    <w:b w:val="0"/>
                    <w:i w:val="0"/>
                    <w:smallCaps w:val="0"/>
                    <w:strike w:val="0"/>
                    <w:color w:val="000000"/>
                    <w:sz w:val="24"/>
                    <w:szCs w:val="24"/>
                    <w:u w:val="none"/>
                    <w:vertAlign w:val="baseline"/>
                  </w:rPr>
                  <m:t xml:space="preserve">j1</m:t>
                </m:r>
              </m:sub>
            </m:sSub>
          </m:e>
        </m:d>
        <m:r>
          <w:rPr>
            <w:rFonts w:ascii="Cambria Math" w:cs="Cambria Math" w:eastAsia="Cambria Math" w:hAnsi="Cambria Math"/>
            <w:b w:val="0"/>
            <w:i w:val="0"/>
            <w:smallCaps w:val="0"/>
            <w:strike w:val="0"/>
            <w:color w:val="000000"/>
            <w:sz w:val="24"/>
            <w:szCs w:val="24"/>
            <w:u w:val="none"/>
            <w:vertAlign w:val="baseline"/>
          </w:rPr>
          <m:t xml:space="preserve">/</m:t>
        </m:r>
        <m:r>
          <w:rPr>
            <w:rFonts w:ascii="Cambria" w:cs="Cambria" w:eastAsia="Cambria" w:hAnsi="Cambria"/>
            <w:b w:val="0"/>
            <w:i w:val="0"/>
            <w:smallCaps w:val="0"/>
            <w:strike w:val="0"/>
            <w:color w:val="000000"/>
            <w:sz w:val="24"/>
            <w:szCs w:val="24"/>
            <w:u w:val="none"/>
            <w:vertAlign w:val="baseline"/>
          </w:rPr>
          <m:t xml:space="preserve">media</m:t>
        </m:r>
        <m:d>
          <m:dPr>
            <m:begChr m:val="("/>
            <m:endChr m:val=")"/>
            <m:ctrlPr>
              <w:rPr>
                <w:rFonts w:ascii="Cambria" w:cs="Cambria" w:eastAsia="Cambria" w:hAnsi="Cambria"/>
                <w:b w:val="0"/>
                <w:i w:val="0"/>
                <w:smallCaps w:val="0"/>
                <w:strike w:val="0"/>
                <w:color w:val="000000"/>
                <w:sz w:val="24"/>
                <w:szCs w:val="24"/>
                <w:u w:val="none"/>
                <w:vertAlign w:val="baseline"/>
              </w:rPr>
            </m:ctrlPr>
          </m:dPr>
          <m:e>
            <m:sSub>
              <m:sSubPr>
                <m:ctrlPr>
                  <w:rPr>
                    <w:rFonts w:ascii="Cambria Math" w:cs="Cambria Math" w:eastAsia="Cambria Math" w:hAnsi="Cambria Math"/>
                    <w:b w:val="0"/>
                    <w:i w:val="0"/>
                    <w:smallCaps w:val="0"/>
                    <w:strike w:val="0"/>
                    <w:color w:val="000000"/>
                    <w:sz w:val="24"/>
                    <w:szCs w:val="24"/>
                    <w:u w:val="none"/>
                    <w:vertAlign w:val="baseline"/>
                  </w:rPr>
                </m:ctrlPr>
              </m:sSubPr>
              <m:e>
                <m:r>
                  <w:rPr>
                    <w:rFonts w:ascii="Cambria Math" w:cs="Cambria Math" w:eastAsia="Cambria Math" w:hAnsi="Cambria Math"/>
                    <w:b w:val="0"/>
                    <w:i w:val="0"/>
                    <w:smallCaps w:val="0"/>
                    <w:strike w:val="0"/>
                    <w:color w:val="000000"/>
                    <w:sz w:val="24"/>
                    <w:szCs w:val="24"/>
                    <w:u w:val="none"/>
                    <w:vertAlign w:val="baseline"/>
                  </w:rPr>
                  <m:t xml:space="preserve">a</m:t>
                </m:r>
              </m:e>
              <m:sub>
                <m:r>
                  <w:rPr>
                    <w:rFonts w:ascii="Cambria Math" w:cs="Cambria Math" w:eastAsia="Cambria Math" w:hAnsi="Cambria Math"/>
                    <w:b w:val="0"/>
                    <w:i w:val="0"/>
                    <w:smallCaps w:val="0"/>
                    <w:strike w:val="0"/>
                    <w:color w:val="000000"/>
                    <w:sz w:val="24"/>
                    <w:szCs w:val="24"/>
                    <w:u w:val="none"/>
                    <w:vertAlign w:val="baseline"/>
                  </w:rPr>
                  <m:t xml:space="preserve">j0</m:t>
                </m:r>
              </m:sub>
            </m:sSub>
          </m:e>
        </m:d>
      </m:oMath>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vertAlign w:val="baseline"/>
        </w:rPr>
      </w:pPr>
      <m:oMath>
        <m:r>
          <m:t>μ</m:t>
        </m:r>
        <m:r>
          <w:rPr>
            <w:rFonts w:ascii="Cambria Math" w:cs="Cambria Math" w:eastAsia="Cambria Math" w:hAnsi="Cambria Math"/>
            <w:b w:val="0"/>
            <w:i w:val="0"/>
            <w:smallCaps w:val="0"/>
            <w:strike w:val="0"/>
            <w:color w:val="000000"/>
            <w:sz w:val="24"/>
            <w:szCs w:val="24"/>
            <w:u w:val="none"/>
            <w:vertAlign w:val="baseline"/>
          </w:rPr>
          <m:t xml:space="preserve">=</m:t>
        </m:r>
        <m:r>
          <w:rPr>
            <w:rFonts w:ascii="Cambria" w:cs="Cambria" w:eastAsia="Cambria" w:hAnsi="Cambria"/>
            <w:b w:val="0"/>
            <w:i w:val="0"/>
            <w:smallCaps w:val="0"/>
            <w:strike w:val="0"/>
            <w:color w:val="000000"/>
            <w:sz w:val="24"/>
            <w:szCs w:val="24"/>
            <w:u w:val="none"/>
            <w:vertAlign w:val="baseline"/>
          </w:rPr>
          <m:t xml:space="preserve">media</m:t>
        </m:r>
        <m:d>
          <m:dPr>
            <m:begChr m:val="("/>
            <m:endChr m:val=")"/>
            <m:ctrlPr>
              <w:rPr>
                <w:rFonts w:ascii="Cambria" w:cs="Cambria" w:eastAsia="Cambria" w:hAnsi="Cambria"/>
                <w:b w:val="0"/>
                <w:i w:val="0"/>
                <w:smallCaps w:val="0"/>
                <w:strike w:val="0"/>
                <w:color w:val="000000"/>
                <w:sz w:val="24"/>
                <w:szCs w:val="24"/>
                <w:u w:val="none"/>
                <w:vertAlign w:val="baseline"/>
              </w:rPr>
            </m:ctrlPr>
          </m:dPr>
          <m:e>
            <m:sSub>
              <m:sSubPr>
                <m:ctrlPr>
                  <w:rPr>
                    <w:rFonts w:ascii="Cambria Math" w:cs="Cambria Math" w:eastAsia="Cambria Math" w:hAnsi="Cambria Math"/>
                    <w:b w:val="0"/>
                    <w:i w:val="0"/>
                    <w:smallCaps w:val="0"/>
                    <w:strike w:val="0"/>
                    <w:color w:val="000000"/>
                    <w:sz w:val="24"/>
                    <w:szCs w:val="24"/>
                    <w:u w:val="none"/>
                    <w:vertAlign w:val="baseline"/>
                  </w:rPr>
                </m:ctrlPr>
              </m:sSubPr>
              <m:e>
                <m:r>
                  <w:rPr>
                    <w:rFonts w:ascii="Cambria Math" w:cs="Cambria Math" w:eastAsia="Cambria Math" w:hAnsi="Cambria Math"/>
                    <w:b w:val="0"/>
                    <w:i w:val="0"/>
                    <w:smallCaps w:val="0"/>
                    <w:strike w:val="0"/>
                    <w:color w:val="000000"/>
                    <w:sz w:val="24"/>
                    <w:szCs w:val="24"/>
                    <w:u w:val="none"/>
                    <w:vertAlign w:val="baseline"/>
                  </w:rPr>
                  <m:t xml:space="preserve">b</m:t>
                </m:r>
              </m:e>
              <m:sub>
                <m:r>
                  <w:rPr>
                    <w:rFonts w:ascii="Cambria Math" w:cs="Cambria Math" w:eastAsia="Cambria Math" w:hAnsi="Cambria Math"/>
                    <w:b w:val="0"/>
                    <w:i w:val="0"/>
                    <w:smallCaps w:val="0"/>
                    <w:strike w:val="0"/>
                    <w:color w:val="000000"/>
                    <w:sz w:val="24"/>
                    <w:szCs w:val="24"/>
                    <w:u w:val="none"/>
                    <w:vertAlign w:val="baseline"/>
                  </w:rPr>
                  <m:t xml:space="preserve">j1</m:t>
                </m:r>
              </m:sub>
            </m:sSub>
          </m:e>
        </m:d>
        <m:r>
          <w:rPr>
            <w:rFonts w:ascii="Cambria Math" w:cs="Cambria Math" w:eastAsia="Cambria Math" w:hAnsi="Cambria Math"/>
            <w:b w:val="0"/>
            <w:i w:val="0"/>
            <w:smallCaps w:val="0"/>
            <w:strike w:val="0"/>
            <w:color w:val="000000"/>
            <w:sz w:val="24"/>
            <w:szCs w:val="24"/>
            <w:u w:val="none"/>
            <w:vertAlign w:val="baseline"/>
          </w:rPr>
          <m:t xml:space="preserve">-</m:t>
        </m:r>
        <m:r>
          <w:rPr>
            <w:rFonts w:ascii="Cambria Math" w:cs="Cambria Math" w:eastAsia="Cambria Math" w:hAnsi="Cambria Math"/>
            <w:b w:val="0"/>
            <w:i w:val="0"/>
            <w:smallCaps w:val="0"/>
            <w:strike w:val="0"/>
            <w:color w:val="000000"/>
            <w:sz w:val="24"/>
            <w:szCs w:val="24"/>
            <w:u w:val="none"/>
            <w:vertAlign w:val="baseline"/>
          </w:rPr>
          <m:t>σ</m:t>
        </m:r>
        <m:r>
          <w:rPr>
            <w:rFonts w:ascii="Cambria Math" w:cs="Cambria Math" w:eastAsia="Cambria Math" w:hAnsi="Cambria Math"/>
            <w:b w:val="0"/>
            <w:i w:val="0"/>
            <w:smallCaps w:val="0"/>
            <w:strike w:val="0"/>
            <w:color w:val="000000"/>
            <w:sz w:val="24"/>
            <w:szCs w:val="24"/>
            <w:u w:val="none"/>
            <w:vertAlign w:val="baseline"/>
          </w:rPr>
          <m:t>×</m:t>
        </m:r>
        <m:r>
          <w:rPr>
            <w:rFonts w:ascii="Cambria" w:cs="Cambria" w:eastAsia="Cambria" w:hAnsi="Cambria"/>
            <w:b w:val="0"/>
            <w:i w:val="0"/>
            <w:smallCaps w:val="0"/>
            <w:strike w:val="0"/>
            <w:color w:val="000000"/>
            <w:sz w:val="24"/>
            <w:szCs w:val="24"/>
            <w:u w:val="none"/>
            <w:vertAlign w:val="baseline"/>
          </w:rPr>
          <m:t xml:space="preserve">media</m:t>
        </m:r>
        <m:d>
          <m:dPr>
            <m:begChr m:val="("/>
            <m:endChr m:val=")"/>
            <m:ctrlPr>
              <w:rPr>
                <w:rFonts w:ascii="Cambria" w:cs="Cambria" w:eastAsia="Cambria" w:hAnsi="Cambria"/>
                <w:b w:val="0"/>
                <w:i w:val="0"/>
                <w:smallCaps w:val="0"/>
                <w:strike w:val="0"/>
                <w:color w:val="000000"/>
                <w:sz w:val="24"/>
                <w:szCs w:val="24"/>
                <w:u w:val="none"/>
                <w:vertAlign w:val="baseline"/>
              </w:rPr>
            </m:ctrlPr>
          </m:dPr>
          <m:e>
            <m:sSub>
              <m:sSubPr>
                <m:ctrlPr>
                  <w:rPr>
                    <w:rFonts w:ascii="Cambria Math" w:cs="Cambria Math" w:eastAsia="Cambria Math" w:hAnsi="Cambria Math"/>
                    <w:b w:val="0"/>
                    <w:i w:val="0"/>
                    <w:smallCaps w:val="0"/>
                    <w:strike w:val="0"/>
                    <w:color w:val="000000"/>
                    <w:sz w:val="24"/>
                    <w:szCs w:val="24"/>
                    <w:u w:val="none"/>
                    <w:vertAlign w:val="baseline"/>
                  </w:rPr>
                </m:ctrlPr>
              </m:sSubPr>
              <m:e>
                <m:r>
                  <w:rPr>
                    <w:rFonts w:ascii="Cambria Math" w:cs="Cambria Math" w:eastAsia="Cambria Math" w:hAnsi="Cambria Math"/>
                    <w:b w:val="0"/>
                    <w:i w:val="0"/>
                    <w:smallCaps w:val="0"/>
                    <w:strike w:val="0"/>
                    <w:color w:val="000000"/>
                    <w:sz w:val="24"/>
                    <w:szCs w:val="24"/>
                    <w:u w:val="none"/>
                    <w:vertAlign w:val="baseline"/>
                  </w:rPr>
                  <m:t xml:space="preserve">b</m:t>
                </m:r>
              </m:e>
              <m:sub>
                <m:r>
                  <w:rPr>
                    <w:rFonts w:ascii="Cambria Math" w:cs="Cambria Math" w:eastAsia="Cambria Math" w:hAnsi="Cambria Math"/>
                    <w:b w:val="0"/>
                    <w:i w:val="0"/>
                    <w:smallCaps w:val="0"/>
                    <w:strike w:val="0"/>
                    <w:color w:val="000000"/>
                    <w:sz w:val="24"/>
                    <w:szCs w:val="24"/>
                    <w:u w:val="none"/>
                    <w:vertAlign w:val="baseline"/>
                  </w:rPr>
                  <m:t xml:space="preserve">j0</m:t>
                </m:r>
              </m:sub>
            </m:sSub>
          </m:e>
        </m:d>
      </m:oMath>
      <w:r w:rsidDel="00000000" w:rsidR="00000000" w:rsidRPr="00000000">
        <w:rPr>
          <w:rtl w:val="0"/>
        </w:rPr>
      </w:r>
    </w:p>
    <w:p w:rsidR="00000000" w:rsidDel="00000000" w:rsidP="00000000" w:rsidRDefault="00000000" w:rsidRPr="00000000" w14:paraId="00000057">
      <w:pPr>
        <w:numPr>
          <w:ilvl w:val="0"/>
          <w:numId w:val="36"/>
        </w:numPr>
        <w:ind w:left="720" w:hanging="480"/>
        <w:rPr/>
      </w:pPr>
      <w:r w:rsidDel="00000000" w:rsidR="00000000" w:rsidRPr="00000000">
        <w:rPr>
          <w:rtl w:val="0"/>
        </w:rPr>
        <w:t xml:space="preserve">Hay muchas funciones de escalamiento, nos centramos en este tipo de función "basada en momentos"</w:t>
      </w:r>
    </w:p>
    <w:bookmarkStart w:colFirst="0" w:colLast="0" w:name="bookmark=id.44sinio" w:id="16"/>
    <w:bookmarkEnd w:id="16"/>
    <w:p w:rsidR="00000000" w:rsidDel="00000000" w:rsidP="00000000" w:rsidRDefault="00000000" w:rsidRPr="00000000" w14:paraId="00000058">
      <w:pPr>
        <w:pStyle w:val="Heading2"/>
        <w:rPr/>
      </w:pPr>
      <w:r w:rsidDel="00000000" w:rsidR="00000000" w:rsidRPr="00000000">
        <w:rPr>
          <w:rtl w:val="0"/>
        </w:rPr>
        <w:t xml:space="preserve">Resumen</w:t>
      </w:r>
    </w:p>
    <w:p w:rsidR="00000000" w:rsidDel="00000000" w:rsidP="00000000" w:rsidRDefault="00000000" w:rsidRPr="00000000" w14:paraId="0000005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escalamiento implica poner puntuaciones de diferentes formas de prueba en la misma escala</w:t>
      </w:r>
    </w:p>
    <w:p w:rsidR="00000000" w:rsidDel="00000000" w:rsidP="00000000" w:rsidRDefault="00000000" w:rsidRPr="00000000" w14:paraId="0000005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Nuestro enfoque: escalado basado en TRI, calibraciones separadas, diseño CINEG</w:t>
      </w:r>
    </w:p>
    <w:p w:rsidR="00000000" w:rsidDel="00000000" w:rsidP="00000000" w:rsidRDefault="00000000" w:rsidRPr="00000000" w14:paraId="0000005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FDI y el escalado basado en TRI con diseño CINEG son formalmente similares</w:t>
      </w:r>
    </w:p>
    <w:p w:rsidR="00000000" w:rsidDel="00000000" w:rsidP="00000000" w:rsidRDefault="00000000" w:rsidRPr="00000000" w14:paraId="0000005C">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"Dos caras del mismo problema" pero con diferentes aplicaciones de investigación</w:t>
      </w:r>
    </w:p>
    <w:p w:rsidR="00000000" w:rsidDel="00000000" w:rsidP="00000000" w:rsidRDefault="00000000" w:rsidRPr="00000000" w14:paraId="0000005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funciones de escalamiento proporcionan una herramienta útil para el análisis de FDI</w:t>
      </w:r>
    </w:p>
    <w:bookmarkStart w:colFirst="0" w:colLast="0" w:name="bookmark=id.2jxsxqh" w:id="17"/>
    <w:bookmarkEnd w:id="17"/>
    <w:p w:rsidR="00000000" w:rsidDel="00000000" w:rsidP="00000000" w:rsidRDefault="00000000" w:rsidRPr="00000000" w14:paraId="0000005E">
      <w:pPr>
        <w:pStyle w:val="Heading1"/>
        <w:rPr/>
      </w:pPr>
      <w:r w:rsidDel="00000000" w:rsidR="00000000" w:rsidRPr="00000000">
        <w:rPr>
          <w:rtl w:val="0"/>
        </w:rPr>
        <w:t xml:space="preserve">Escalamiento robusto</w:t>
      </w:r>
    </w:p>
    <w:p w:rsidR="00000000" w:rsidDel="00000000" w:rsidP="00000000" w:rsidRDefault="00000000" w:rsidRPr="00000000" w14:paraId="0000005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Ítems con FDI se traducen en valores atípicos en el escalamiento</w:t>
      </w:r>
    </w:p>
    <w:bookmarkStart w:colFirst="0" w:colLast="0" w:name="bookmark=id.z337ya" w:id="18"/>
    <w:bookmarkEnd w:id="18"/>
    <w:p w:rsidR="00000000" w:rsidDel="00000000" w:rsidP="00000000" w:rsidRDefault="00000000" w:rsidRPr="00000000" w14:paraId="00000060">
      <w:pPr>
        <w:pStyle w:val="Heading2"/>
        <w:rPr/>
      </w:pPr>
      <w:r w:rsidDel="00000000" w:rsidR="00000000" w:rsidRPr="00000000">
        <w:rPr>
          <w:rtl w:val="0"/>
        </w:rPr>
        <w:t xml:space="preserve">FDI, escalado y regresión robusta</w:t>
      </w:r>
    </w:p>
    <w:tbl>
      <w:tblPr>
        <w:tblStyle w:val="Table5"/>
        <w:tblW w:w="9360.0" w:type="dxa"/>
        <w:jc w:val="left"/>
        <w:tblLayout w:type="fixed"/>
        <w:tblLook w:val="0000"/>
      </w:tblPr>
      <w:tblGrid>
        <w:gridCol w:w="9360"/>
        <w:tblGridChange w:id="0">
          <w:tblGrid>
            <w:gridCol w:w="9360"/>
          </w:tblGrid>
        </w:tblGridChange>
      </w:tblGrid>
      <w:tr>
        <w:trPr>
          <w:cantSplit w:val="0"/>
          <w:tblHeader w:val="0"/>
        </w:trPr>
        <w:tc>
          <w:tcPr/>
          <w:p w:rsidR="00000000" w:rsidDel="00000000" w:rsidP="00000000" w:rsidRDefault="00000000" w:rsidRPr="00000000" w14:paraId="00000061">
            <w:pPr>
              <w:jc w:val="center"/>
              <w:rPr/>
            </w:pPr>
            <w:r w:rsidDel="00000000" w:rsidR="00000000" w:rsidRPr="00000000">
              <w:rPr/>
              <w:drawing>
                <wp:inline distB="0" distT="0" distL="0" distR="0">
                  <wp:extent cx="5334000" cy="4200506"/>
                  <wp:effectExtent b="0" l="0" r="0" t="0"/>
                  <wp:docPr id="8"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334000" cy="4200506"/>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Escalamiento CINEG mediante regresión lineal en presencia de FDI. Los puntos representan parámetros de dificultad del modelo 2PL, estimados en dos grupos. El punto rojo es un ítem con FDI. Los parámetros de escalamiento se escriben como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μ</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y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σ</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PGD = parámetros generadores de datos; DAM = desviación absoluta mínima; MCO = mínimos cuadrados ordinarios.</w:t>
      </w:r>
    </w:p>
    <w:bookmarkStart w:colFirst="0" w:colLast="0" w:name="bookmark=id.3j2qqm3" w:id="19"/>
    <w:bookmarkEnd w:id="19"/>
    <w:p w:rsidR="00000000" w:rsidDel="00000000" w:rsidP="00000000" w:rsidRDefault="00000000" w:rsidRPr="00000000" w14:paraId="00000064">
      <w:pPr>
        <w:pStyle w:val="Heading2"/>
        <w:rPr/>
      </w:pPr>
      <w:r w:rsidDel="00000000" w:rsidR="00000000" w:rsidRPr="00000000">
        <w:rPr>
          <w:rtl w:val="0"/>
        </w:rPr>
        <w:t xml:space="preserve">De la regresión al escalamiento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La regresión robusta "lista para usar" no funciona muy bien para este problema</w:t>
      </w:r>
    </w:p>
    <w:p w:rsidR="00000000" w:rsidDel="00000000" w:rsidP="00000000" w:rsidRDefault="00000000" w:rsidRPr="00000000" w14:paraId="00000066">
      <w:pPr>
        <w:numPr>
          <w:ilvl w:val="0"/>
          <w:numId w:val="3"/>
        </w:numPr>
        <w:ind w:left="720" w:hanging="480"/>
        <w:rPr/>
      </w:pPr>
      <w:r w:rsidDel="00000000" w:rsidR="00000000" w:rsidRPr="00000000">
        <w:rPr>
          <w:rtl w:val="0"/>
        </w:rPr>
        <w:t xml:space="preserve">El modelo de regresión no capta algunos aspectos peculiares del problema de escalamiento</w:t>
      </w:r>
    </w:p>
    <w:p w:rsidR="00000000" w:rsidDel="00000000" w:rsidP="00000000" w:rsidRDefault="00000000" w:rsidRPr="00000000" w14:paraId="0000006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Sin FDI, los parámetros de los ítems tienen una relación lineal exacta</w:t>
      </w:r>
    </w:p>
    <w:p w:rsidR="00000000" w:rsidDel="00000000" w:rsidP="00000000" w:rsidRDefault="00000000" w:rsidRPr="00000000" w14:paraId="0000006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Error heterocedástico en ambas variables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SE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acc>
          </m:e>
        </m:d>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depende de </w:t>
      </w:r>
      <m:oMath>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acc>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Tenemos estimaciones de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SE</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acc>
              <m:accPr>
                <m:chr m:val="̂"/>
                <m:ctrlPr>
                  <w:rPr>
                    <w:rFonts w:ascii="Cambria Math" w:cs="Cambria Math" w:eastAsia="Cambria Math" w:hAnsi="Cambria Math"/>
                    <w:b w:val="0"/>
                    <w:i w:val="0"/>
                    <w:smallCaps w:val="0"/>
                    <w:strike w:val="0"/>
                    <w:color w:val="000000"/>
                    <w:sz w:val="24"/>
                    <w:szCs w:val="24"/>
                    <w:u w:val="none"/>
                    <w:shd w:fill="auto" w:val="clear"/>
                    <w:vertAlign w:val="baseline"/>
                  </w:rPr>
                </m:ctrlPr>
              </m:accPr>
              <m:e>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acc>
          </m:e>
        </m:d>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pero, ¿cómo usarlas?</w:t>
      </w:r>
    </w:p>
    <w:bookmarkStart w:colFirst="0" w:colLast="0" w:name="bookmark=id.1y810tw" w:id="20"/>
    <w:bookmarkEnd w:id="20"/>
    <w:p w:rsidR="00000000" w:rsidDel="00000000" w:rsidP="00000000" w:rsidRDefault="00000000" w:rsidRPr="00000000" w14:paraId="0000006A">
      <w:pPr>
        <w:pStyle w:val="Heading2"/>
        <w:rPr/>
      </w:pPr>
      <w:r w:rsidDel="00000000" w:rsidR="00000000" w:rsidRPr="00000000">
        <w:rPr>
          <w:rtl w:val="0"/>
        </w:rPr>
        <w:t xml:space="preserve">Escalamiento robusto: Enfoque general</w:t>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Definir implícitamente el parámetro de escala (impacto) μ a través de una ecuación de</w:t>
      </w:r>
    </w:p>
    <w:p w:rsidR="00000000" w:rsidDel="00000000" w:rsidP="00000000" w:rsidRDefault="00000000" w:rsidRPr="00000000" w14:paraId="0000006C">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m:t>Ψ</m:t>
        </m:r>
        <m:d>
          <m:dPr>
            <m:begChr m:val="("/>
            <m:endChr m:val=")"/>
          </m:dPr>
          <m:e>
            <m:r>
              <m:t>μ</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nary>
          <m:naryPr>
            <m:chr m:val="∑"/>
            <m:ctrlPr>
              <w:rPr>
                <w:rFonts w:ascii="Cambria Math" w:cs="Cambria Math" w:eastAsia="Cambria Math" w:hAnsi="Cambria Math"/>
                <w:b w:val="0"/>
                <w:i w:val="0"/>
                <w:smallCaps w:val="0"/>
                <w:strike w:val="0"/>
                <w:color w:val="000000"/>
                <w:sz w:val="24"/>
                <w:szCs w:val="24"/>
                <w:u w:val="none"/>
                <w:shd w:fill="auto" w:val="clear"/>
                <w:vertAlign w:val="baseline"/>
              </w:rPr>
            </m:ctrlPr>
          </m:naryPr>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up/>
        </m:nary>
        <m:r>
          <w:rPr>
            <w:rFonts w:ascii="Cambria Math" w:cs="Cambria Math" w:eastAsia="Cambria Math" w:hAnsi="Cambria Math"/>
            <w:b w:val="0"/>
            <w:i w:val="0"/>
            <w:smallCaps w:val="0"/>
            <w:strike w:val="0"/>
            <w:color w:val="000000"/>
            <w:sz w:val="24"/>
            <w:szCs w:val="24"/>
            <w:u w:val="none"/>
            <w:shd w:fill="auto" w:val="clear"/>
            <w:vertAlign w:val="baseline"/>
          </w:rPr>
          <m:t>ψ</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μ</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V</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e>
                </m:d>
              </m:den>
            </m:f>
          </m:e>
        </m:d>
        <m:r>
          <w:rPr>
            <w:rFonts w:ascii="Cambria Math" w:cs="Cambria Math" w:eastAsia="Cambria Math" w:hAnsi="Cambria Math"/>
            <w:b w:val="0"/>
            <w:i w:val="0"/>
            <w:smallCaps w:val="0"/>
            <w:strike w:val="0"/>
            <w:color w:val="000000"/>
            <w:sz w:val="24"/>
            <w:szCs w:val="24"/>
            <w:u w:val="none"/>
            <w:shd w:fill="auto" w:val="clear"/>
            <w:vertAlign w:val="baseline"/>
          </w:rPr>
          <m:t xml:space="preserve">=0</m:t>
        </m:r>
      </m:oMath>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j</m:t>
            </m:r>
          </m:sub>
        </m:sSub>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es una función de escalamiento basada en parámetros del ítem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j=1,…,J</m:t>
        </m:r>
      </m:oMath>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V</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e>
        </m:d>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es la varianza de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obtenida mediante el método delta</w:t>
      </w:r>
    </w:p>
    <w:p w:rsidR="00000000" w:rsidDel="00000000" w:rsidP="00000000" w:rsidRDefault="00000000" w:rsidRPr="00000000" w14:paraId="000000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m:oMath>
        <m:r>
          <m:t>ψ</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es una función de pérdida "redescendente" elegida para señalar valores atípicos (es decir, ítems con FDI)</w:t>
      </w:r>
    </w:p>
    <w:p w:rsidR="00000000" w:rsidDel="00000000" w:rsidP="00000000" w:rsidRDefault="00000000" w:rsidRPr="00000000" w14:paraId="000000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Bi-cuadrada de Tukey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7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Detalles en Halpin (2022)</w:t>
      </w:r>
    </w:p>
    <w:bookmarkStart w:colFirst="0" w:colLast="0" w:name="bookmark=id.4i7ojhp" w:id="21"/>
    <w:bookmarkEnd w:id="21"/>
    <w:p w:rsidR="00000000" w:rsidDel="00000000" w:rsidP="00000000" w:rsidRDefault="00000000" w:rsidRPr="00000000" w14:paraId="00000073">
      <w:pPr>
        <w:pStyle w:val="Heading2"/>
        <w:rPr/>
      </w:pPr>
      <w:r w:rsidDel="00000000" w:rsidR="00000000" w:rsidRPr="00000000">
        <w:rPr>
          <w:rtl w:val="0"/>
        </w:rPr>
        <w:t xml:space="preserve">Cómo se señalan los ítems con FDI</w:t>
      </w:r>
    </w:p>
    <w:p w:rsidR="00000000" w:rsidDel="00000000" w:rsidP="00000000" w:rsidRDefault="00000000" w:rsidRPr="00000000" w14:paraId="000000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Estimación mediante mínimos cuadrados ponderados iterativamente (IRLS por su nombre en inglés)</w:t>
      </w:r>
    </w:p>
    <w:p w:rsidR="00000000" w:rsidDel="00000000" w:rsidP="00000000" w:rsidRDefault="00000000" w:rsidRPr="00000000" w14:paraId="00000075">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acc>
          <m:accPr>
            <m:chr m:val="̂"/>
          </m:accPr>
          <m:e>
            <m:r>
              <m:t>μ</m:t>
            </m:r>
          </m:e>
        </m:acc>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w</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z</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Cambria" w:cs="Cambria" w:eastAsia="Cambria" w:hAnsi="Cambria"/>
            <w:b w:val="0"/>
            <w:i w:val="0"/>
            <w:smallCaps w:val="0"/>
            <w:strike w:val="0"/>
            <w:color w:val="000000"/>
            <w:sz w:val="24"/>
            <w:szCs w:val="24"/>
            <w:u w:val="none"/>
            <w:shd w:fill="auto" w:val="clear"/>
            <w:vertAlign w:val="baseline"/>
          </w:rPr>
          <m:t xml:space="preserve">donde</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z</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μ</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V</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e>
            </m:d>
          </m:den>
        </m:f>
      </m:oMath>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Idea intuitiva: establecer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w</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=0</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para ítems con FDI</w:t>
      </w:r>
    </w:p>
    <w:p w:rsidR="00000000" w:rsidDel="00000000" w:rsidP="00000000" w:rsidRDefault="00000000" w:rsidRPr="00000000" w14:paraId="00000077">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 decir, señalar ítems con FDI mientras se estima </w:t>
      </w:r>
      <m:oMath>
        <m:r>
          <m:t>μ</m:t>
        </m:r>
      </m:oMath>
      <w:r w:rsidDel="00000000" w:rsidR="00000000" w:rsidRPr="00000000">
        <w:rPr>
          <w:rtl w:val="0"/>
        </w:rPr>
      </w:r>
    </w:p>
    <w:bookmarkStart w:colFirst="0" w:colLast="0" w:name="bookmark=id.2xcytpi" w:id="22"/>
    <w:bookmarkEnd w:id="22"/>
    <w:p w:rsidR="00000000" w:rsidDel="00000000" w:rsidP="00000000" w:rsidRDefault="00000000" w:rsidRPr="00000000" w14:paraId="00000078">
      <w:pPr>
        <w:pStyle w:val="Heading2"/>
        <w:rPr/>
      </w:pPr>
      <w:r w:rsidDel="00000000" w:rsidR="00000000" w:rsidRPr="00000000">
        <w:rPr>
          <w:rtl w:val="0"/>
        </w:rPr>
        <w:t xml:space="preserve">Función de ponderación (bi-cuadrada de Tukey)</w:t>
      </w:r>
    </w:p>
    <w:tbl>
      <w:tblPr>
        <w:tblStyle w:val="Table6"/>
        <w:tblW w:w="9360.0" w:type="dxa"/>
        <w:jc w:val="left"/>
        <w:tblLayout w:type="fixed"/>
        <w:tblLook w:val="0000"/>
      </w:tblPr>
      <w:tblGrid>
        <w:gridCol w:w="9360"/>
        <w:tblGridChange w:id="0">
          <w:tblGrid>
            <w:gridCol w:w="9360"/>
          </w:tblGrid>
        </w:tblGridChange>
      </w:tblGrid>
      <w:tr>
        <w:trPr>
          <w:cantSplit w:val="0"/>
          <w:tblHeader w:val="0"/>
        </w:trPr>
        <w:tc>
          <w:tcPr/>
          <w:p w:rsidR="00000000" w:rsidDel="00000000" w:rsidP="00000000" w:rsidRDefault="00000000" w:rsidRPr="00000000" w14:paraId="00000079">
            <w:pPr>
              <w:jc w:val="center"/>
              <w:rPr/>
            </w:pPr>
            <w:r w:rsidDel="00000000" w:rsidR="00000000" w:rsidRPr="00000000">
              <w:rPr/>
              <w:drawing>
                <wp:inline distB="0" distT="0" distL="0" distR="0">
                  <wp:extent cx="5334000" cy="2350516"/>
                  <wp:effectExtent b="0" l="0" r="0" t="0"/>
                  <wp:docPr id="1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334000" cy="2350516"/>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B">
      <w:pPr>
        <w:jc w:val="center"/>
        <w:rPr>
          <w:rFonts w:ascii="Cambria" w:cs="Cambria" w:eastAsia="Cambria" w:hAnsi="Cambria"/>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w</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r>
          <w:rPr>
            <w:rFonts w:ascii="Cambria" w:cs="Cambria" w:eastAsia="Cambria" w:hAnsi="Cambria"/>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z</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num>
                          <m:den>
                            <m:r>
                              <w:rPr>
                                <w:rFonts w:ascii="Cambria Math" w:cs="Cambria Math" w:eastAsia="Cambria Math" w:hAnsi="Cambria Math"/>
                                <w:b w:val="0"/>
                                <w:i w:val="0"/>
                                <w:smallCaps w:val="0"/>
                                <w:strike w:val="0"/>
                                <w:color w:val="000000"/>
                                <w:sz w:val="24"/>
                                <w:szCs w:val="24"/>
                                <w:u w:val="none"/>
                                <w:shd w:fill="auto" w:val="clear"/>
                                <w:vertAlign w:val="baseline"/>
                              </w:rPr>
                              <m:t xml:space="preserve">k</m:t>
                            </m:r>
                          </m:den>
                        </m:f>
                      </m:e>
                    </m:d>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e>
            </m:d>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w:cs="Cambria" w:eastAsia="Cambria" w:hAnsi="Cambria"/>
            <w:b w:val="0"/>
            <w:i w:val="0"/>
            <w:smallCaps w:val="0"/>
            <w:strike w:val="0"/>
            <w:color w:val="000000"/>
            <w:sz w:val="24"/>
            <w:szCs w:val="24"/>
            <w:u w:val="none"/>
            <w:shd w:fill="auto" w:val="clear"/>
            <w:vertAlign w:val="baseline"/>
          </w:rPr>
          <m:t xml:space="preserve">  for  </m:t>
        </m:r>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z</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∣≤k</m:t>
        </m:r>
        <m:r>
          <w:rPr>
            <w:rFonts w:ascii="Cambria" w:cs="Cambria" w:eastAsia="Cambria" w:hAnsi="Cambria"/>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0</m:t>
        </m:r>
        <m:r>
          <w:rPr>
            <w:rFonts w:ascii="Cambria" w:cs="Cambria" w:eastAsia="Cambria" w:hAnsi="Cambria"/>
            <w:b w:val="0"/>
            <w:i w:val="0"/>
            <w:smallCaps w:val="0"/>
            <w:strike w:val="0"/>
            <w:color w:val="000000"/>
            <w:sz w:val="24"/>
            <w:szCs w:val="24"/>
            <w:u w:val="none"/>
            <w:shd w:fill="auto" w:val="clear"/>
            <w:vertAlign w:val="baseline"/>
          </w:rPr>
          <m:t xml:space="preserve">  for  </m:t>
        </m:r>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z</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∣&gt;k</m:t>
        </m:r>
        <m:r>
          <w:rPr>
            <w:rFonts w:ascii="Cambria" w:cs="Cambria" w:eastAsia="Cambria" w:hAnsi="Cambria"/>
            <w:b w:val="0"/>
            <w:i w:val="0"/>
            <w:smallCaps w:val="0"/>
            <w:strike w:val="0"/>
            <w:color w:val="000000"/>
            <w:sz w:val="24"/>
            <w:szCs w:val="24"/>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 el ítem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i</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 tiene FDI, sabemos que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z</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r>
              <w:rPr>
                <w:rFonts w:ascii="Cambria Math" w:cs="Cambria Math" w:eastAsia="Cambria Math" w:hAnsi="Cambria Math"/>
                <w:b w:val="0"/>
                <w:i w:val="0"/>
                <w:smallCaps w:val="0"/>
                <w:strike w:val="0"/>
                <w:color w:val="000000"/>
                <w:sz w:val="24"/>
                <w:szCs w:val="24"/>
                <w:u w:val="none"/>
                <w:shd w:fill="auto" w:val="clear"/>
                <w:vertAlign w:val="baseline"/>
              </w:rPr>
              <m:t>μ</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V</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e>
            </m:d>
          </m:den>
        </m:f>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0,1</m:t>
            </m:r>
          </m:e>
        </m:d>
      </m:oMath>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Escoger por ítem el parámetro de ajuste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k</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basado en la tasa de error de Tipo I deseada para probar FDI</w:t>
      </w:r>
    </w:p>
    <w:p w:rsidR="00000000" w:rsidDel="00000000" w:rsidP="00000000" w:rsidRDefault="00000000" w:rsidRPr="00000000" w14:paraId="0000007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Resultado: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w=0</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si el ítem está fuera del intervalo de confianza del 95% para "sin DIF"</w:t>
      </w:r>
    </w:p>
    <w:bookmarkStart w:colFirst="0" w:colLast="0" w:name="bookmark=id.1ci93xb" w:id="23"/>
    <w:bookmarkEnd w:id="23"/>
    <w:p w:rsidR="00000000" w:rsidDel="00000000" w:rsidP="00000000" w:rsidRDefault="00000000" w:rsidRPr="00000000" w14:paraId="0000007F">
      <w:pPr>
        <w:pStyle w:val="Heading2"/>
        <w:rPr/>
      </w:pPr>
      <w:r w:rsidDel="00000000" w:rsidR="00000000" w:rsidRPr="00000000">
        <w:rPr>
          <w:rtl w:val="0"/>
        </w:rPr>
        <w:t xml:space="preserve">Escalamiento robusto: En la práctica</w:t>
      </w:r>
    </w:p>
    <w:p w:rsidR="00000000" w:rsidDel="00000000" w:rsidP="00000000" w:rsidRDefault="00000000" w:rsidRPr="00000000" w14:paraId="0000008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Paso 1. Estimación de máxima verosimilitud de un modelo psicométrico focal por separado en ambos grupos</w:t>
      </w:r>
    </w:p>
    <w:p w:rsidR="00000000" w:rsidDel="00000000" w:rsidP="00000000" w:rsidRDefault="00000000" w:rsidRPr="00000000" w14:paraId="0000008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Paso 2. Extracción de las estimaciones de los parámetros del modelo (MLEs) y sus errores estándar</w:t>
      </w:r>
    </w:p>
    <w:p w:rsidR="00000000" w:rsidDel="00000000" w:rsidP="00000000" w:rsidRDefault="00000000" w:rsidRPr="00000000" w14:paraId="0000008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Paso 3. El escalamiento robusto es un paso posterior a la estimación que utiliza el enfoque descrito anteriormente para:</w:t>
      </w:r>
    </w:p>
    <w:p w:rsidR="00000000" w:rsidDel="00000000" w:rsidP="00000000" w:rsidRDefault="00000000" w:rsidRPr="00000000" w14:paraId="0000008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Proporcionar una estimación de impacto que es robusta al FDI</w:t>
      </w:r>
    </w:p>
    <w:p w:rsidR="00000000" w:rsidDel="00000000" w:rsidP="00000000" w:rsidRDefault="00000000" w:rsidRPr="00000000" w14:paraId="00000084">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Señalar ítems con FDI a la tasa de error de Tipo I deseada</w:t>
      </w:r>
    </w:p>
    <w:p w:rsidR="00000000" w:rsidDel="00000000" w:rsidP="00000000" w:rsidRDefault="00000000" w:rsidRPr="00000000" w14:paraId="0000008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36" w:before="36" w:line="240" w:lineRule="auto"/>
        <w:ind w:left="72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Paso 4. Pruebas de chi-cuadrado (Wald) de seguimiento para FDI a nivel de ítem</w:t>
      </w:r>
    </w:p>
    <w:bookmarkStart w:colFirst="0" w:colLast="0" w:name="bookmark=id.3whwml4" w:id="24"/>
    <w:bookmarkEnd w:id="24"/>
    <w:p w:rsidR="00000000" w:rsidDel="00000000" w:rsidP="00000000" w:rsidRDefault="00000000" w:rsidRPr="00000000" w14:paraId="00000086">
      <w:pPr>
        <w:pStyle w:val="Heading2"/>
        <w:rPr/>
      </w:pPr>
      <w:r w:rsidDel="00000000" w:rsidR="00000000" w:rsidRPr="00000000">
        <w:rPr>
          <w:rtl w:val="0"/>
        </w:rPr>
        <w:t xml:space="preserve">Escalad]miento robusto: Detalles adicionales</w:t>
      </w:r>
    </w:p>
    <w:p w:rsidR="00000000" w:rsidDel="00000000" w:rsidP="00000000" w:rsidRDefault="00000000" w:rsidRPr="00000000" w14:paraId="00000087">
      <w:pPr>
        <w:numPr>
          <w:ilvl w:val="0"/>
          <w:numId w:val="27"/>
        </w:numPr>
        <w:ind w:left="720" w:hanging="480"/>
        <w:rPr/>
      </w:pPr>
      <w:r w:rsidDel="00000000" w:rsidR="00000000" w:rsidRPr="00000000">
        <w:rPr>
          <w:rtl w:val="0"/>
        </w:rPr>
        <w:t xml:space="preserve">El enfoque no requiere especificación de ítems ancla</w:t>
      </w:r>
    </w:p>
    <w:p w:rsidR="00000000" w:rsidDel="00000000" w:rsidP="00000000" w:rsidRDefault="00000000" w:rsidRPr="00000000" w14:paraId="00000088">
      <w:pPr>
        <w:numPr>
          <w:ilvl w:val="0"/>
          <w:numId w:val="27"/>
        </w:numPr>
        <w:ind w:left="720" w:hanging="480"/>
        <w:rPr/>
      </w:pPr>
      <w:r w:rsidDel="00000000" w:rsidR="00000000" w:rsidRPr="00000000">
        <w:rPr>
          <w:rtl w:val="0"/>
        </w:rPr>
        <w:t xml:space="preserve">Los resultados teóricos garantizan que el procedimiento puede tolerar hasta el 50% de ítems con FDI</w:t>
      </w:r>
    </w:p>
    <w:p w:rsidR="00000000" w:rsidDel="00000000" w:rsidP="00000000" w:rsidRDefault="00000000" w:rsidRPr="00000000" w14:paraId="00000089">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métodos tradicionales que usan anclas fallan con &lt; 25%</w:t>
      </w:r>
    </w:p>
    <w:p w:rsidR="00000000" w:rsidDel="00000000" w:rsidP="00000000" w:rsidRDefault="00000000" w:rsidRPr="00000000" w14:paraId="0000008A">
      <w:pPr>
        <w:numPr>
          <w:ilvl w:val="0"/>
          <w:numId w:val="27"/>
        </w:numPr>
        <w:ind w:left="720" w:hanging="480"/>
        <w:rPr/>
      </w:pPr>
      <w:r w:rsidDel="00000000" w:rsidR="00000000" w:rsidRPr="00000000">
        <w:rPr>
          <w:rtl w:val="0"/>
        </w:rPr>
        <w:t xml:space="preserve">resultados de simulación de datos muestran que se desempeña bien en comparación con otros métodos</w:t>
      </w:r>
    </w:p>
    <w:bookmarkStart w:colFirst="0" w:colLast="0" w:name="bookmark=id.2bn6wsx" w:id="25"/>
    <w:bookmarkEnd w:id="25"/>
    <w:p w:rsidR="00000000" w:rsidDel="00000000" w:rsidP="00000000" w:rsidRDefault="00000000" w:rsidRPr="00000000" w14:paraId="0000008B">
      <w:pPr>
        <w:pStyle w:val="Heading2"/>
        <w:rPr/>
      </w:pPr>
      <w:r w:rsidDel="00000000" w:rsidR="00000000" w:rsidRPr="00000000">
        <w:rPr>
          <w:rtl w:val="0"/>
        </w:rPr>
        <w:t xml:space="preserve">Un estudio de simulación</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2PL en dos grupos, FDI en dificultad del ítem solo</w:t>
      </w:r>
    </w:p>
    <w:p w:rsidR="00000000" w:rsidDel="00000000" w:rsidP="00000000" w:rsidRDefault="00000000" w:rsidRPr="00000000" w14:paraId="0000008D">
      <w:pPr>
        <w:numPr>
          <w:ilvl w:val="0"/>
          <w:numId w:val="31"/>
        </w:numPr>
        <w:ind w:left="720" w:hanging="480"/>
        <w:rPr/>
      </w:pPr>
      <w:r w:rsidDel="00000000" w:rsidR="00000000" w:rsidRPr="00000000">
        <w:rPr>
          <w:rtl w:val="0"/>
        </w:rPr>
        <w:t xml:space="preserve">FDI solo en las dificultades de los ítems (interceptos) (</w:t>
      </w:r>
      <m:oMath>
        <m:sSub>
          <m:sSubPr>
            <m:ctrlPr>
              <w:rPr>
                <w:rFonts w:ascii="Cambria Math" w:cs="Cambria Math" w:eastAsia="Cambria Math" w:hAnsi="Cambria Math"/>
              </w:rPr>
            </m:ctrlPr>
          </m:sSubPr>
          <m:e>
            <m:r>
              <m:t>Δ</m:t>
            </m:r>
          </m:e>
          <m:sub>
            <m:r>
              <w:rPr>
                <w:rFonts w:ascii="Cambria Math" w:cs="Cambria Math" w:eastAsia="Cambria Math" w:hAnsi="Cambria Math"/>
              </w:rPr>
              <m:t xml:space="preserve">i</m:t>
            </m:r>
          </m:sub>
        </m:sSub>
        <m:r>
          <w:rPr>
            <w:rFonts w:ascii="Cambria Math" w:cs="Cambria Math" w:eastAsia="Cambria Math" w:hAnsi="Cambria Math"/>
          </w:rPr>
          <m:t xml:space="preserve">=.5</m:t>
        </m:r>
      </m:oMath>
      <w:r w:rsidDel="00000000" w:rsidR="00000000" w:rsidRPr="00000000">
        <w:rPr>
          <w:rtl w:val="0"/>
        </w:rPr>
        <w:t xml:space="preserve">)</w:t>
      </w:r>
    </w:p>
    <w:p w:rsidR="00000000" w:rsidDel="00000000" w:rsidP="00000000" w:rsidRDefault="00000000" w:rsidRPr="00000000" w14:paraId="0000008E">
      <w:pPr>
        <w:numPr>
          <w:ilvl w:val="0"/>
          <w:numId w:val="31"/>
        </w:numPr>
        <w:ind w:left="720" w:hanging="480"/>
        <w:rPr/>
      </w:pPr>
      <w:r w:rsidDel="00000000" w:rsidR="00000000" w:rsidRPr="00000000">
        <w:rPr>
          <w:rtl w:val="0"/>
        </w:rPr>
        <w:t xml:space="preserve">Impacto solo en la media (</w:t>
      </w:r>
      <m:oMath>
        <m:sSub>
          <m:sSubPr>
            <m:ctrlPr>
              <w:rPr>
                <w:rFonts w:ascii="Cambria Math" w:cs="Cambria Math" w:eastAsia="Cambria Math" w:hAnsi="Cambria Math"/>
              </w:rPr>
            </m:ctrlPr>
          </m:sSubPr>
          <m:e>
            <m:r>
              <m:t>μ</m:t>
            </m:r>
          </m:e>
          <m:sub>
            <m:r>
              <w:rPr>
                <w:rFonts w:ascii="Cambria Math" w:cs="Cambria Math" w:eastAsia="Cambria Math" w:hAnsi="Cambria Math"/>
              </w:rPr>
              <m:t xml:space="preserve">1</m:t>
            </m:r>
          </m:sub>
        </m:sSub>
        <m:r>
          <w:rPr>
            <w:rFonts w:ascii="Cambria Math" w:cs="Cambria Math" w:eastAsia="Cambria Math" w:hAnsi="Cambria Math"/>
          </w:rPr>
          <m:t xml:space="preserve">=.5</m:t>
        </m:r>
      </m:oMath>
      <w:r w:rsidDel="00000000" w:rsidR="00000000" w:rsidRPr="00000000">
        <w:rPr>
          <w:rtl w:val="0"/>
        </w:rPr>
        <w:t xml:space="preserve">)</w:t>
      </w:r>
    </w:p>
    <w:p w:rsidR="00000000" w:rsidDel="00000000" w:rsidP="00000000" w:rsidRDefault="00000000" w:rsidRPr="00000000" w14:paraId="0000008F">
      <w:pPr>
        <w:numPr>
          <w:ilvl w:val="0"/>
          <w:numId w:val="31"/>
        </w:numPr>
        <w:ind w:left="720" w:hanging="480"/>
        <w:rPr/>
      </w:pPr>
      <w:r w:rsidDel="00000000" w:rsidR="00000000" w:rsidRPr="00000000">
        <w:rPr>
          <w:rtl w:val="0"/>
        </w:rPr>
        <w:t xml:space="preserve">Factores focales</w:t>
      </w:r>
    </w:p>
    <w:p w:rsidR="00000000" w:rsidDel="00000000" w:rsidP="00000000" w:rsidRDefault="00000000" w:rsidRPr="00000000" w14:paraId="00000090">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Número de ítems con DIF: 0 a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I/2</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seleccionados aleatoriamente</w:t>
      </w:r>
    </w:p>
    <w:p w:rsidR="00000000" w:rsidDel="00000000" w:rsidP="00000000" w:rsidRDefault="00000000" w:rsidRPr="00000000" w14:paraId="00000091">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Método: LRT-DIF, Mantel-Haenszel, GPCM lasso, estimador M propuesto</w:t>
      </w:r>
    </w:p>
    <w:p w:rsidR="00000000" w:rsidDel="00000000" w:rsidP="00000000" w:rsidRDefault="00000000" w:rsidRPr="00000000" w14:paraId="00000092">
      <w:pPr>
        <w:numPr>
          <w:ilvl w:val="0"/>
          <w:numId w:val="31"/>
        </w:numPr>
        <w:ind w:left="720" w:hanging="480"/>
        <w:rPr/>
      </w:pPr>
      <w:r w:rsidDel="00000000" w:rsidR="00000000" w:rsidRPr="00000000">
        <w:rPr>
          <w:rtl w:val="0"/>
        </w:rPr>
        <w:t xml:space="preserve">Factores de diseño</w:t>
      </w:r>
    </w:p>
    <w:p w:rsidR="00000000" w:rsidDel="00000000" w:rsidP="00000000" w:rsidRDefault="00000000" w:rsidRPr="00000000" w14:paraId="00000093">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R=500</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repeticiones por número de ítems sesgados</w:t>
      </w:r>
    </w:p>
    <w:p w:rsidR="00000000" w:rsidDel="00000000" w:rsidP="00000000" w:rsidRDefault="00000000" w:rsidRPr="00000000" w14:paraId="00000094">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N=500</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personas por grupo</w:t>
      </w:r>
    </w:p>
    <w:p w:rsidR="00000000" w:rsidDel="00000000" w:rsidP="00000000" w:rsidRDefault="00000000" w:rsidRPr="00000000" w14:paraId="00000095">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I=15</m:t>
        </m:r>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ítems</w:t>
      </w:r>
    </w:p>
    <w:p w:rsidR="00000000" w:rsidDel="00000000" w:rsidP="00000000" w:rsidRDefault="00000000" w:rsidRPr="00000000" w14:paraId="00000096">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θ</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0j</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0,1</m:t>
            </m:r>
          </m:e>
        </m:d>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m:t>θ</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1j</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.5,1</m:t>
            </m:r>
          </m:e>
        </m:d>
      </m:oMath>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0i</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U</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.9,2.5</m:t>
            </m:r>
          </m:e>
        </m:d>
      </m:oMath>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0i</m:t>
            </m:r>
          </m:sub>
        </m:sSub>
      </m:oMath>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36" w:before="36" w:line="240" w:lineRule="auto"/>
        <w:ind w:left="1440" w:right="0" w:hanging="480"/>
        <w:jc w:val="left"/>
        <w:rPr>
          <w:rFonts w:ascii="Cambria" w:cs="Cambria" w:eastAsia="Cambria" w:hAnsi="Cambria"/>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0i</m:t>
            </m:r>
          </m:sub>
        </m:sSub>
        <m:r>
          <w:rPr>
            <w:rFonts w:ascii="Cambria Math" w:cs="Cambria Math" w:eastAsia="Cambria Math" w:hAnsi="Cambria Math"/>
            <w:b w:val="0"/>
            <w:i w:val="0"/>
            <w:smallCaps w:val="0"/>
            <w:strike w:val="0"/>
            <w:color w:val="000000"/>
            <w:sz w:val="24"/>
            <w:szCs w:val="24"/>
            <w:u w:val="none"/>
            <w:shd w:fill="auto" w:val="clear"/>
            <w:vertAlign w:val="baseline"/>
          </w:rPr>
          <m:t>∼</m:t>
        </m:r>
        <m:r>
          <w:rPr>
            <w:rFonts w:ascii="Cambria Math" w:cs="Cambria Math" w:eastAsia="Cambria Math" w:hAnsi="Cambria Math"/>
            <w:b w:val="0"/>
            <w:i w:val="0"/>
            <w:smallCaps w:val="0"/>
            <w:strike w:val="0"/>
            <w:color w:val="000000"/>
            <w:sz w:val="24"/>
            <w:szCs w:val="24"/>
            <w:u w:val="none"/>
            <w:shd w:fill="auto" w:val="clear"/>
            <w:vertAlign w:val="baseline"/>
          </w:rPr>
          <m:t xml:space="preserve">U</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-1.5,1.5</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0i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Δ</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Δ</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∈{0,.5};</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gi</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b</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gi</m:t>
            </m:r>
          </m:sub>
        </m:sSub>
        <m:r>
          <w:rPr>
            <w:rFonts w:ascii="Cambria Math" w:cs="Cambria Math" w:eastAsia="Cambria Math" w:hAnsi="Cambria Math"/>
            <w:b w:val="0"/>
            <w:i w:val="0"/>
            <w:smallCaps w:val="0"/>
            <w:strike w:val="0"/>
            <w:color w:val="000000"/>
            <w:sz w:val="24"/>
            <w:szCs w:val="24"/>
            <w:u w:val="none"/>
            <w:shd w:fill="auto" w:val="clear"/>
            <w:vertAlign w:val="baseline"/>
          </w:rPr>
          <m:t>×</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a</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gi</m:t>
            </m:r>
          </m:sub>
        </m:sSub>
      </m:oMath>
      <w:r w:rsidDel="00000000" w:rsidR="00000000" w:rsidRPr="00000000">
        <w:rPr>
          <w:rtl w:val="0"/>
        </w:rPr>
      </w:r>
    </w:p>
    <w:bookmarkStart w:colFirst="0" w:colLast="0" w:name="bookmark=id.qsh70q" w:id="26"/>
    <w:bookmarkEnd w:id="26"/>
    <w:p w:rsidR="00000000" w:rsidDel="00000000" w:rsidP="00000000" w:rsidRDefault="00000000" w:rsidRPr="00000000" w14:paraId="00000099">
      <w:pPr>
        <w:pStyle w:val="Heading2"/>
        <w:rPr/>
      </w:pPr>
      <w:r w:rsidDel="00000000" w:rsidR="00000000" w:rsidRPr="00000000">
        <w:rPr>
          <w:rtl w:val="0"/>
        </w:rPr>
        <w:t xml:space="preserve">Resultados de la simulación</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3532978"/>
            <wp:effectExtent b="0" l="0" r="0" t="0"/>
            <wp:docPr id="10"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334000" cy="3532978"/>
                    </a:xfrm>
                    <a:prstGeom prst="rect"/>
                    <a:ln/>
                  </pic:spPr>
                </pic:pic>
              </a:graphicData>
            </a:graphic>
          </wp:inline>
        </w:drawing>
      </w:r>
      <w:r w:rsidDel="00000000" w:rsidR="00000000" w:rsidRPr="00000000">
        <w:rPr>
          <w:rtl w:val="0"/>
        </w:rPr>
      </w:r>
    </w:p>
    <w:bookmarkStart w:colFirst="0" w:colLast="0" w:name="bookmark=id.3as4poj" w:id="27"/>
    <w:bookmarkEnd w:id="27"/>
    <w:p w:rsidR="00000000" w:rsidDel="00000000" w:rsidP="00000000" w:rsidRDefault="00000000" w:rsidRPr="00000000" w14:paraId="0000009B">
      <w:pPr>
        <w:pStyle w:val="Heading2"/>
        <w:rPr/>
      </w:pPr>
      <w:r w:rsidDel="00000000" w:rsidR="00000000" w:rsidRPr="00000000">
        <w:rPr>
          <w:rtl w:val="0"/>
        </w:rPr>
        <w:t xml:space="preserve">Resultados de la simulación</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3532978"/>
            <wp:effectExtent b="0" l="0" r="0" t="0"/>
            <wp:docPr id="13"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334000" cy="3532978"/>
                    </a:xfrm>
                    <a:prstGeom prst="rect"/>
                    <a:ln/>
                  </pic:spPr>
                </pic:pic>
              </a:graphicData>
            </a:graphic>
          </wp:inline>
        </w:drawing>
      </w:r>
      <w:r w:rsidDel="00000000" w:rsidR="00000000" w:rsidRPr="00000000">
        <w:rPr>
          <w:rtl w:val="0"/>
        </w:rPr>
      </w:r>
    </w:p>
    <w:bookmarkStart w:colFirst="0" w:colLast="0" w:name="bookmark=id.1pxezwc" w:id="28"/>
    <w:bookmarkEnd w:id="28"/>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4f81bd"/>
          <w:sz w:val="28"/>
          <w:szCs w:val="28"/>
          <w:u w:val="none"/>
          <w:shd w:fill="auto" w:val="clear"/>
          <w:vertAlign w:val="baseline"/>
          <w:rtl w:val="0"/>
        </w:rPr>
        <w:t xml:space="preserve">Resultados de la simulación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34000" cy="3532978"/>
            <wp:effectExtent b="0" l="0" r="0" t="0"/>
            <wp:docPr id="12"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334000" cy="353297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Style w:val="Heading1"/>
        <w:keepNext w:val="0"/>
        <w:keepLines w:val="0"/>
        <w:rPr/>
      </w:pPr>
      <w:bookmarkStart w:colFirst="0" w:colLast="0" w:name="_heading=h.6hs6ucn6m33e" w:id="29"/>
      <w:bookmarkEnd w:id="29"/>
      <w:r w:rsidDel="00000000" w:rsidR="00000000" w:rsidRPr="00000000">
        <w:rPr>
          <w:rtl w:val="0"/>
        </w:rPr>
        <w:t xml:space="preserve">Ejemplo</w:t>
      </w:r>
      <w:r w:rsidDel="00000000" w:rsidR="00000000" w:rsidRPr="00000000">
        <w:rPr>
          <w:rtl w:val="0"/>
        </w:rPr>
      </w:r>
    </w:p>
    <w:p w:rsidR="00000000" w:rsidDel="00000000" w:rsidP="00000000" w:rsidRDefault="00000000" w:rsidRPr="00000000" w14:paraId="0000009F">
      <w:pPr>
        <w:pStyle w:val="Heading2"/>
        <w:keepNext w:val="0"/>
        <w:keepLines w:val="0"/>
        <w:rPr>
          <w:rFonts w:ascii="Cambria" w:cs="Cambria" w:eastAsia="Cambria" w:hAnsi="Cambria"/>
          <w:b w:val="0"/>
          <w:sz w:val="16"/>
          <w:szCs w:val="16"/>
        </w:rPr>
      </w:pPr>
      <w:bookmarkStart w:colFirst="0" w:colLast="0" w:name="_heading=h.b2vgrxivs3gb" w:id="30"/>
      <w:bookmarkEnd w:id="30"/>
      <w:r w:rsidDel="00000000" w:rsidR="00000000" w:rsidRPr="00000000">
        <w:rPr>
          <w:rtl w:val="0"/>
        </w:rPr>
        <w:t xml:space="preserve">Configuración con R</w:t>
      </w:r>
      <w:r w:rsidDel="00000000" w:rsidR="00000000" w:rsidRPr="00000000">
        <w:rPr>
          <w:rtl w:val="0"/>
        </w:rPr>
      </w:r>
    </w:p>
    <w:p w:rsidR="00000000" w:rsidDel="00000000" w:rsidP="00000000" w:rsidRDefault="00000000" w:rsidRPr="00000000" w14:paraId="000000A0">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El paquete </w:t>
      </w:r>
      <w:r w:rsidDel="00000000" w:rsidR="00000000" w:rsidRPr="00000000">
        <w:rPr>
          <w:rFonts w:ascii="Consolas" w:cs="Consolas" w:eastAsia="Consolas" w:hAnsi="Consolas"/>
          <w:sz w:val="22"/>
          <w:szCs w:val="22"/>
          <w:shd w:fill="f1f3f5" w:val="clear"/>
          <w:rtl w:val="0"/>
        </w:rPr>
        <w:t xml:space="preserve">robustDIF</w:t>
      </w:r>
      <w:r w:rsidDel="00000000" w:rsidR="00000000" w:rsidRPr="00000000">
        <w:rPr>
          <w:rtl w:val="0"/>
        </w:rPr>
        <w:t xml:space="preserve"> ha sido actualizado recientemente, así que vamos a </w:t>
      </w:r>
      <w:r w:rsidDel="00000000" w:rsidR="00000000" w:rsidRPr="00000000">
        <w:rPr>
          <w:rtl w:val="0"/>
        </w:rPr>
        <w:t xml:space="preserve">reinstalarlo</w:t>
      </w:r>
      <w:r w:rsidDel="00000000" w:rsidR="00000000" w:rsidRPr="00000000">
        <w:rPr>
          <w:rtl w:val="0"/>
        </w:rPr>
        <w:t xml:space="preserve"> ahora</w:t>
      </w:r>
    </w:p>
    <w:p w:rsidR="00000000" w:rsidDel="00000000" w:rsidP="00000000" w:rsidRDefault="00000000" w:rsidRPr="00000000" w14:paraId="000000A1">
      <w:pPr>
        <w:shd w:fill="f1f3f5" w:val="clear"/>
        <w:rPr>
          <w:rFonts w:ascii="Consolas" w:cs="Consolas" w:eastAsia="Consolas" w:hAnsi="Consolas"/>
          <w:color w:val="003b4f"/>
          <w:sz w:val="22"/>
          <w:szCs w:val="22"/>
        </w:rPr>
      </w:pPr>
      <w:r w:rsidDel="00000000" w:rsidR="00000000" w:rsidRPr="00000000">
        <w:rPr>
          <w:rFonts w:ascii="Consolas" w:cs="Consolas" w:eastAsia="Consolas" w:hAnsi="Consolas"/>
          <w:color w:val="5e5e5e"/>
          <w:sz w:val="22"/>
          <w:szCs w:val="22"/>
          <w:rtl w:val="0"/>
        </w:rPr>
        <w:t xml:space="preserve"># instalador para github</w:t>
        <w:br w:type="textWrapping"/>
      </w:r>
      <w:r w:rsidDel="00000000" w:rsidR="00000000" w:rsidRPr="00000000">
        <w:rPr>
          <w:rFonts w:ascii="Consolas" w:cs="Consolas" w:eastAsia="Consolas" w:hAnsi="Consolas"/>
          <w:color w:val="4758ab"/>
          <w:sz w:val="22"/>
          <w:szCs w:val="22"/>
          <w:rtl w:val="0"/>
        </w:rPr>
        <w:t xml:space="preserve">install.packages</w:t>
      </w:r>
      <w:r w:rsidDel="00000000" w:rsidR="00000000" w:rsidRPr="00000000">
        <w:rPr>
          <w:rFonts w:ascii="Consolas" w:cs="Consolas" w:eastAsia="Consolas" w:hAnsi="Consolas"/>
          <w:color w:val="003b4f"/>
          <w:sz w:val="22"/>
          <w:szCs w:val="22"/>
          <w:rtl w:val="0"/>
        </w:rPr>
        <w:t xml:space="preserve">(remotes)</w:t>
        <w:br w:type="textWrapping"/>
        <w:br w:type="textWrapping"/>
      </w:r>
      <w:r w:rsidDel="00000000" w:rsidR="00000000" w:rsidRPr="00000000">
        <w:rPr>
          <w:rFonts w:ascii="Consolas" w:cs="Consolas" w:eastAsia="Consolas" w:hAnsi="Consolas"/>
          <w:color w:val="5e5e5e"/>
          <w:sz w:val="22"/>
          <w:szCs w:val="22"/>
          <w:rtl w:val="0"/>
        </w:rPr>
        <w:t xml:space="preserve"># instalar robustDIF desde gitihub</w:t>
        <w:br w:type="textWrapping"/>
      </w:r>
      <w:r w:rsidDel="00000000" w:rsidR="00000000" w:rsidRPr="00000000">
        <w:rPr>
          <w:rFonts w:ascii="Consolas" w:cs="Consolas" w:eastAsia="Consolas" w:hAnsi="Consolas"/>
          <w:color w:val="003b4f"/>
          <w:sz w:val="22"/>
          <w:szCs w:val="22"/>
          <w:rtl w:val="0"/>
        </w:rPr>
        <w:t xml:space="preserve">remotes</w:t>
      </w:r>
      <w:r w:rsidDel="00000000" w:rsidR="00000000" w:rsidRPr="00000000">
        <w:rPr>
          <w:rFonts w:ascii="Consolas" w:cs="Consolas" w:eastAsia="Consolas" w:hAnsi="Consolas"/>
          <w:color w:val="5e5e5e"/>
          <w:sz w:val="22"/>
          <w:szCs w:val="22"/>
          <w:rtl w:val="0"/>
        </w:rPr>
        <w:t xml:space="preserve">::</w:t>
      </w:r>
      <w:r w:rsidDel="00000000" w:rsidR="00000000" w:rsidRPr="00000000">
        <w:rPr>
          <w:rFonts w:ascii="Consolas" w:cs="Consolas" w:eastAsia="Consolas" w:hAnsi="Consolas"/>
          <w:color w:val="4758ab"/>
          <w:sz w:val="22"/>
          <w:szCs w:val="22"/>
          <w:rtl w:val="0"/>
        </w:rPr>
        <w:t xml:space="preserve">install_github</w:t>
      </w:r>
      <w:r w:rsidDel="00000000" w:rsidR="00000000" w:rsidRPr="00000000">
        <w:rPr>
          <w:rFonts w:ascii="Consolas" w:cs="Consolas" w:eastAsia="Consolas" w:hAnsi="Consolas"/>
          <w:color w:val="003b4f"/>
          <w:sz w:val="22"/>
          <w:szCs w:val="22"/>
          <w:rtl w:val="0"/>
        </w:rPr>
        <w:t xml:space="preserve">(</w:t>
      </w:r>
      <w:r w:rsidDel="00000000" w:rsidR="00000000" w:rsidRPr="00000000">
        <w:rPr>
          <w:rFonts w:ascii="Consolas" w:cs="Consolas" w:eastAsia="Consolas" w:hAnsi="Consolas"/>
          <w:color w:val="20794d"/>
          <w:sz w:val="22"/>
          <w:szCs w:val="22"/>
          <w:rtl w:val="0"/>
        </w:rPr>
        <w:t xml:space="preserve">"peterhalpin/robustDIF"</w:t>
      </w:r>
      <w:r w:rsidDel="00000000" w:rsidR="00000000" w:rsidRPr="00000000">
        <w:rPr>
          <w:rFonts w:ascii="Consolas" w:cs="Consolas" w:eastAsia="Consolas" w:hAnsi="Consolas"/>
          <w:color w:val="003b4f"/>
          <w:sz w:val="22"/>
          <w:szCs w:val="22"/>
          <w:rtl w:val="0"/>
        </w:rPr>
        <w:t xml:space="preserve">)</w:t>
        <w:br w:type="textWrapping"/>
        <w:br w:type="textWrapping"/>
      </w:r>
      <w:r w:rsidDel="00000000" w:rsidR="00000000" w:rsidRPr="00000000">
        <w:rPr>
          <w:rFonts w:ascii="Consolas" w:cs="Consolas" w:eastAsia="Consolas" w:hAnsi="Consolas"/>
          <w:color w:val="5e5e5e"/>
          <w:sz w:val="22"/>
          <w:szCs w:val="22"/>
          <w:rtl w:val="0"/>
        </w:rPr>
        <w:t xml:space="preserve"># cargar biblioteca</w:t>
        <w:br w:type="textWrapping"/>
      </w:r>
      <w:r w:rsidDel="00000000" w:rsidR="00000000" w:rsidRPr="00000000">
        <w:rPr>
          <w:rFonts w:ascii="Consolas" w:cs="Consolas" w:eastAsia="Consolas" w:hAnsi="Consolas"/>
          <w:color w:val="4758ab"/>
          <w:sz w:val="22"/>
          <w:szCs w:val="22"/>
          <w:rtl w:val="0"/>
        </w:rPr>
        <w:t xml:space="preserve">library</w:t>
      </w:r>
      <w:r w:rsidDel="00000000" w:rsidR="00000000" w:rsidRPr="00000000">
        <w:rPr>
          <w:rFonts w:ascii="Consolas" w:cs="Consolas" w:eastAsia="Consolas" w:hAnsi="Consolas"/>
          <w:color w:val="003b4f"/>
          <w:sz w:val="22"/>
          <w:szCs w:val="22"/>
          <w:rtl w:val="0"/>
        </w:rPr>
        <w:t xml:space="preserve">(robustDIF)</w:t>
      </w:r>
    </w:p>
    <w:p w:rsidR="00000000" w:rsidDel="00000000" w:rsidP="00000000" w:rsidRDefault="00000000" w:rsidRPr="00000000" w14:paraId="000000A2">
      <w:pPr>
        <w:pStyle w:val="Heading2"/>
        <w:keepNext w:val="0"/>
        <w:keepLines w:val="0"/>
        <w:rPr/>
      </w:pPr>
      <w:bookmarkStart w:colFirst="0" w:colLast="0" w:name="_heading=h.7xl09h32fjax" w:id="31"/>
      <w:bookmarkEnd w:id="31"/>
      <w:r w:rsidDel="00000000" w:rsidR="00000000" w:rsidRPr="00000000">
        <w:rPr>
          <w:rtl w:val="0"/>
        </w:rPr>
      </w:r>
    </w:p>
    <w:p w:rsidR="00000000" w:rsidDel="00000000" w:rsidP="00000000" w:rsidRDefault="00000000" w:rsidRPr="00000000" w14:paraId="000000A3">
      <w:pPr>
        <w:pStyle w:val="Heading2"/>
        <w:keepNext w:val="0"/>
        <w:keepLines w:val="0"/>
        <w:rPr/>
      </w:pPr>
      <w:bookmarkStart w:colFirst="0" w:colLast="0" w:name="_heading=h.vfmsem8o2ukp" w:id="32"/>
      <w:bookmarkEnd w:id="32"/>
      <w:r w:rsidDel="00000000" w:rsidR="00000000" w:rsidRPr="00000000">
        <w:rPr>
          <w:rtl w:val="0"/>
        </w:rPr>
        <w:t xml:space="preserve">Paso 1</w:t>
      </w:r>
      <w:r w:rsidDel="00000000" w:rsidR="00000000" w:rsidRPr="00000000">
        <w:rPr>
          <w:rtl w:val="0"/>
        </w:rPr>
        <w:t xml:space="preserve">. Estimar el modelo IRT</w:t>
      </w:r>
    </w:p>
    <w:p w:rsidR="00000000" w:rsidDel="00000000" w:rsidP="00000000" w:rsidRDefault="00000000" w:rsidRPr="00000000" w14:paraId="000000A4">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Puede utilizar el modelo configurar en </w:t>
      </w:r>
      <w:r w:rsidDel="00000000" w:rsidR="00000000" w:rsidRPr="00000000">
        <w:rPr>
          <w:rFonts w:ascii="Consolas" w:cs="Consolas" w:eastAsia="Consolas" w:hAnsi="Consolas"/>
          <w:sz w:val="22"/>
          <w:szCs w:val="22"/>
          <w:shd w:fill="f1f3f5" w:val="clear"/>
          <w:rtl w:val="0"/>
        </w:rPr>
        <w:t xml:space="preserve">mirt</w:t>
      </w:r>
      <w:r w:rsidDel="00000000" w:rsidR="00000000" w:rsidRPr="00000000">
        <w:rPr>
          <w:rtl w:val="0"/>
        </w:rPr>
        <w:t xml:space="preserve"> o la lista de dos ajustes separados </w:t>
      </w:r>
    </w:p>
    <w:p w:rsidR="00000000" w:rsidDel="00000000" w:rsidP="00000000" w:rsidRDefault="00000000" w:rsidRPr="00000000" w14:paraId="000000A5">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onsolas" w:cs="Consolas" w:eastAsia="Consolas" w:hAnsi="Consolas"/>
          <w:sz w:val="22"/>
          <w:szCs w:val="22"/>
          <w:shd w:fill="f1f3f5" w:val="clear"/>
          <w:rtl w:val="0"/>
        </w:rPr>
        <w:t xml:space="preserve">lavaan</w:t>
      </w:r>
      <w:r w:rsidDel="00000000" w:rsidR="00000000" w:rsidRPr="00000000">
        <w:rPr>
          <w:rtl w:val="0"/>
        </w:rPr>
        <w:t xml:space="preserve"> también es compatible, vea el Apéndice</w:t>
      </w:r>
    </w:p>
    <w:p w:rsidR="00000000" w:rsidDel="00000000" w:rsidP="00000000" w:rsidRDefault="00000000" w:rsidRPr="00000000" w14:paraId="000000A6">
      <w:pPr>
        <w:shd w:fill="f1f3f5" w:val="clear"/>
        <w:rPr>
          <w:rFonts w:ascii="Consolas" w:cs="Consolas" w:eastAsia="Consolas" w:hAnsi="Consolas"/>
          <w:sz w:val="22"/>
          <w:szCs w:val="22"/>
        </w:rPr>
      </w:pPr>
      <w:r w:rsidDel="00000000" w:rsidR="00000000" w:rsidRPr="00000000">
        <w:rPr>
          <w:rFonts w:ascii="Consolas" w:cs="Consolas" w:eastAsia="Consolas" w:hAnsi="Consolas"/>
          <w:sz w:val="22"/>
          <w:szCs w:val="22"/>
          <w:rtl w:val="0"/>
        </w:rPr>
        <w:t xml:space="preserve">Loading required package: stats4</w:t>
      </w:r>
    </w:p>
    <w:p w:rsidR="00000000" w:rsidDel="00000000" w:rsidP="00000000" w:rsidRDefault="00000000" w:rsidRPr="00000000" w14:paraId="000000A7">
      <w:pPr>
        <w:shd w:fill="f1f3f5" w:val="clear"/>
        <w:rPr>
          <w:rFonts w:ascii="Consolas" w:cs="Consolas" w:eastAsia="Consolas" w:hAnsi="Consolas"/>
          <w:sz w:val="22"/>
          <w:szCs w:val="22"/>
        </w:rPr>
      </w:pPr>
      <w:r w:rsidDel="00000000" w:rsidR="00000000" w:rsidRPr="00000000">
        <w:rPr>
          <w:rFonts w:ascii="Consolas" w:cs="Consolas" w:eastAsia="Consolas" w:hAnsi="Consolas"/>
          <w:sz w:val="22"/>
          <w:szCs w:val="22"/>
          <w:rtl w:val="0"/>
        </w:rPr>
        <w:t xml:space="preserve">Loading required package: lattice</w:t>
      </w:r>
    </w:p>
    <w:p w:rsidR="00000000" w:rsidDel="00000000" w:rsidP="00000000" w:rsidRDefault="00000000" w:rsidRPr="00000000" w14:paraId="000000A8">
      <w:pPr>
        <w:shd w:fill="f1f3f5" w:val="clear"/>
        <w:rPr>
          <w:rFonts w:ascii="Consolas" w:cs="Consolas" w:eastAsia="Consolas" w:hAnsi="Consolas"/>
          <w:color w:val="5e5e5e"/>
          <w:sz w:val="22"/>
          <w:szCs w:val="22"/>
        </w:rPr>
      </w:pPr>
      <w:r w:rsidDel="00000000" w:rsidR="00000000" w:rsidRPr="00000000">
        <w:rPr>
          <w:rFonts w:ascii="Consolas" w:cs="Consolas" w:eastAsia="Consolas" w:hAnsi="Consolas"/>
          <w:color w:val="4758ab"/>
          <w:sz w:val="22"/>
          <w:szCs w:val="22"/>
          <w:rtl w:val="0"/>
        </w:rPr>
        <w:t xml:space="preserve">library</w:t>
      </w:r>
      <w:r w:rsidDel="00000000" w:rsidR="00000000" w:rsidRPr="00000000">
        <w:rPr>
          <w:rFonts w:ascii="Consolas" w:cs="Consolas" w:eastAsia="Consolas" w:hAnsi="Consolas"/>
          <w:color w:val="003b4f"/>
          <w:sz w:val="22"/>
          <w:szCs w:val="22"/>
          <w:rtl w:val="0"/>
        </w:rPr>
        <w:t xml:space="preserve">(mirt)</w:t>
        <w:br w:type="textWrapping"/>
        <w:br w:type="textWrapping"/>
      </w:r>
      <w:r w:rsidDel="00000000" w:rsidR="00000000" w:rsidRPr="00000000">
        <w:rPr>
          <w:rFonts w:ascii="Consolas" w:cs="Consolas" w:eastAsia="Consolas" w:hAnsi="Consolas"/>
          <w:color w:val="5e5e5e"/>
          <w:sz w:val="22"/>
          <w:szCs w:val="22"/>
          <w:rtl w:val="0"/>
        </w:rPr>
        <w:t xml:space="preserve"># Configurar datos para mirt</w:t>
        <w:br w:type="textWrapping"/>
      </w:r>
      <w:r w:rsidDel="00000000" w:rsidR="00000000" w:rsidRPr="00000000">
        <w:rPr>
          <w:rFonts w:ascii="Consolas" w:cs="Consolas" w:eastAsia="Consolas" w:hAnsi="Consolas"/>
          <w:color w:val="003b4f"/>
          <w:sz w:val="22"/>
          <w:szCs w:val="22"/>
          <w:rtl w:val="0"/>
        </w:rPr>
        <w:t xml:space="preserve">cint &lt;- </w:t>
      </w:r>
      <w:r w:rsidDel="00000000" w:rsidR="00000000" w:rsidRPr="00000000">
        <w:rPr>
          <w:rFonts w:ascii="Consolas" w:cs="Consolas" w:eastAsia="Consolas" w:hAnsi="Consolas"/>
          <w:color w:val="4758ab"/>
          <w:sz w:val="22"/>
          <w:szCs w:val="22"/>
          <w:rtl w:val="0"/>
        </w:rPr>
        <w:t xml:space="preserve">read.csv</w:t>
      </w:r>
      <w:r w:rsidDel="00000000" w:rsidR="00000000" w:rsidRPr="00000000">
        <w:rPr>
          <w:rFonts w:ascii="Consolas" w:cs="Consolas" w:eastAsia="Consolas" w:hAnsi="Consolas"/>
          <w:color w:val="003b4f"/>
          <w:sz w:val="22"/>
          <w:szCs w:val="22"/>
          <w:rtl w:val="0"/>
        </w:rPr>
        <w:t xml:space="preserve">(</w:t>
      </w:r>
      <w:r w:rsidDel="00000000" w:rsidR="00000000" w:rsidRPr="00000000">
        <w:rPr>
          <w:rFonts w:ascii="Consolas" w:cs="Consolas" w:eastAsia="Consolas" w:hAnsi="Consolas"/>
          <w:color w:val="20794d"/>
          <w:sz w:val="22"/>
          <w:szCs w:val="22"/>
          <w:rtl w:val="0"/>
        </w:rPr>
        <w:t xml:space="preserve">"cint_data.csv"</w:t>
      </w:r>
      <w:r w:rsidDel="00000000" w:rsidR="00000000" w:rsidRPr="00000000">
        <w:rPr>
          <w:rFonts w:ascii="Consolas" w:cs="Consolas" w:eastAsia="Consolas" w:hAnsi="Consolas"/>
          <w:color w:val="003b4f"/>
          <w:sz w:val="22"/>
          <w:szCs w:val="22"/>
          <w:rtl w:val="0"/>
        </w:rPr>
        <w:t xml:space="preserve">)</w:t>
        <w:br w:type="textWrapping"/>
        <w:br w:type="textWrapping"/>
        <w:t xml:space="preserve">depression_names &lt;- </w:t>
      </w:r>
      <w:r w:rsidDel="00000000" w:rsidR="00000000" w:rsidRPr="00000000">
        <w:rPr>
          <w:rFonts w:ascii="Consolas" w:cs="Consolas" w:eastAsia="Consolas" w:hAnsi="Consolas"/>
          <w:color w:val="4758ab"/>
          <w:sz w:val="22"/>
          <w:szCs w:val="22"/>
          <w:rtl w:val="0"/>
        </w:rPr>
        <w:t xml:space="preserve">c</w:t>
      </w:r>
      <w:r w:rsidDel="00000000" w:rsidR="00000000" w:rsidRPr="00000000">
        <w:rPr>
          <w:rFonts w:ascii="Consolas" w:cs="Consolas" w:eastAsia="Consolas" w:hAnsi="Consolas"/>
          <w:color w:val="003b4f"/>
          <w:sz w:val="22"/>
          <w:szCs w:val="22"/>
          <w:rtl w:val="0"/>
        </w:rPr>
        <w:t xml:space="preserve">(</w:t>
      </w:r>
      <w:r w:rsidDel="00000000" w:rsidR="00000000" w:rsidRPr="00000000">
        <w:rPr>
          <w:rFonts w:ascii="Consolas" w:cs="Consolas" w:eastAsia="Consolas" w:hAnsi="Consolas"/>
          <w:color w:val="20794d"/>
          <w:sz w:val="22"/>
          <w:szCs w:val="22"/>
          <w:rtl w:val="0"/>
        </w:rPr>
        <w:t xml:space="preserve">"cint1"</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"cint2"</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"cint4"</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"cint11"</w:t>
      </w:r>
      <w:r w:rsidDel="00000000" w:rsidR="00000000" w:rsidRPr="00000000">
        <w:rPr>
          <w:rFonts w:ascii="Consolas" w:cs="Consolas" w:eastAsia="Consolas" w:hAnsi="Consolas"/>
          <w:color w:val="003b4f"/>
          <w:sz w:val="22"/>
          <w:szCs w:val="22"/>
          <w:rtl w:val="0"/>
        </w:rPr>
        <w:t xml:space="preserve">,</w:t>
        <w:br w:type="textWrapping"/>
        <w:t xml:space="preserve">                  </w:t>
        <w:tab/>
      </w:r>
      <w:r w:rsidDel="00000000" w:rsidR="00000000" w:rsidRPr="00000000">
        <w:rPr>
          <w:rFonts w:ascii="Consolas" w:cs="Consolas" w:eastAsia="Consolas" w:hAnsi="Consolas"/>
          <w:color w:val="20794d"/>
          <w:sz w:val="22"/>
          <w:szCs w:val="22"/>
          <w:rtl w:val="0"/>
        </w:rPr>
        <w:t xml:space="preserve">"cint27"</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"cint28"</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"cint29"</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"cint30"</w:t>
      </w:r>
      <w:r w:rsidDel="00000000" w:rsidR="00000000" w:rsidRPr="00000000">
        <w:rPr>
          <w:rFonts w:ascii="Consolas" w:cs="Consolas" w:eastAsia="Consolas" w:hAnsi="Consolas"/>
          <w:color w:val="003b4f"/>
          <w:sz w:val="22"/>
          <w:szCs w:val="22"/>
          <w:rtl w:val="0"/>
        </w:rPr>
        <w:t xml:space="preserve">)</w:t>
        <w:br w:type="textWrapping"/>
        <w:t xml:space="preserve">depression_items &lt;- cint[, depression_names]</w:t>
        <w:br w:type="textWrapping"/>
        <w:t xml:space="preserve">gender &lt;- </w:t>
      </w:r>
      <w:r w:rsidDel="00000000" w:rsidR="00000000" w:rsidRPr="00000000">
        <w:rPr>
          <w:rFonts w:ascii="Consolas" w:cs="Consolas" w:eastAsia="Consolas" w:hAnsi="Consolas"/>
          <w:color w:val="4758ab"/>
          <w:sz w:val="22"/>
          <w:szCs w:val="22"/>
          <w:rtl w:val="0"/>
        </w:rPr>
        <w:t xml:space="preserve">factor</w:t>
      </w:r>
      <w:r w:rsidDel="00000000" w:rsidR="00000000" w:rsidRPr="00000000">
        <w:rPr>
          <w:rFonts w:ascii="Consolas" w:cs="Consolas" w:eastAsia="Consolas" w:hAnsi="Consolas"/>
          <w:color w:val="003b4f"/>
          <w:sz w:val="22"/>
          <w:szCs w:val="22"/>
          <w:rtl w:val="0"/>
        </w:rPr>
        <w:t xml:space="preserve">(cint</w:t>
      </w:r>
      <w:r w:rsidDel="00000000" w:rsidR="00000000" w:rsidRPr="00000000">
        <w:rPr>
          <w:rFonts w:ascii="Consolas" w:cs="Consolas" w:eastAsia="Consolas" w:hAnsi="Consolas"/>
          <w:color w:val="5e5e5e"/>
          <w:sz w:val="22"/>
          <w:szCs w:val="22"/>
          <w:rtl w:val="0"/>
        </w:rPr>
        <w:t xml:space="preserve">$</w:t>
      </w:r>
      <w:r w:rsidDel="00000000" w:rsidR="00000000" w:rsidRPr="00000000">
        <w:rPr>
          <w:rFonts w:ascii="Consolas" w:cs="Consolas" w:eastAsia="Consolas" w:hAnsi="Consolas"/>
          <w:color w:val="003b4f"/>
          <w:sz w:val="22"/>
          <w:szCs w:val="22"/>
          <w:rtl w:val="0"/>
        </w:rPr>
        <w:t xml:space="preserve">cfemale)</w:t>
        <w:br w:type="textWrapping"/>
        <w:br w:type="textWrapping"/>
      </w:r>
      <w:r w:rsidDel="00000000" w:rsidR="00000000" w:rsidRPr="00000000">
        <w:rPr>
          <w:rFonts w:ascii="Consolas" w:cs="Consolas" w:eastAsia="Consolas" w:hAnsi="Consolas"/>
          <w:color w:val="5e5e5e"/>
          <w:sz w:val="22"/>
          <w:szCs w:val="22"/>
          <w:rtl w:val="0"/>
        </w:rPr>
        <w:t xml:space="preserve"># Estimatación del modelo (sin restricciones de invarianza)</w:t>
        <w:br w:type="textWrapping"/>
      </w:r>
      <w:r w:rsidDel="00000000" w:rsidR="00000000" w:rsidRPr="00000000">
        <w:rPr>
          <w:rFonts w:ascii="Consolas" w:cs="Consolas" w:eastAsia="Consolas" w:hAnsi="Consolas"/>
          <w:color w:val="003b4f"/>
          <w:sz w:val="22"/>
          <w:szCs w:val="22"/>
          <w:rtl w:val="0"/>
        </w:rPr>
        <w:t xml:space="preserve">config.mod &lt;- </w:t>
      </w:r>
      <w:r w:rsidDel="00000000" w:rsidR="00000000" w:rsidRPr="00000000">
        <w:rPr>
          <w:rFonts w:ascii="Consolas" w:cs="Consolas" w:eastAsia="Consolas" w:hAnsi="Consolas"/>
          <w:color w:val="4758ab"/>
          <w:sz w:val="22"/>
          <w:szCs w:val="22"/>
          <w:rtl w:val="0"/>
        </w:rPr>
        <w:t xml:space="preserve">multipleGroup</w:t>
      </w:r>
      <w:r w:rsidDel="00000000" w:rsidR="00000000" w:rsidRPr="00000000">
        <w:rPr>
          <w:rFonts w:ascii="Consolas" w:cs="Consolas" w:eastAsia="Consolas" w:hAnsi="Consolas"/>
          <w:color w:val="003b4f"/>
          <w:sz w:val="22"/>
          <w:szCs w:val="22"/>
          <w:rtl w:val="0"/>
        </w:rPr>
        <w:t xml:space="preserve">(depression_items,</w:t>
        <w:br w:type="textWrapping"/>
        <w:t xml:space="preserve">                        </w:t>
        <w:tab/>
      </w:r>
      <w:r w:rsidDel="00000000" w:rsidR="00000000" w:rsidRPr="00000000">
        <w:rPr>
          <w:rFonts w:ascii="Consolas" w:cs="Consolas" w:eastAsia="Consolas" w:hAnsi="Consolas"/>
          <w:color w:val="657422"/>
          <w:sz w:val="22"/>
          <w:szCs w:val="22"/>
          <w:rtl w:val="0"/>
        </w:rPr>
        <w:t xml:space="preserve">group =</w:t>
      </w:r>
      <w:r w:rsidDel="00000000" w:rsidR="00000000" w:rsidRPr="00000000">
        <w:rPr>
          <w:rFonts w:ascii="Consolas" w:cs="Consolas" w:eastAsia="Consolas" w:hAnsi="Consolas"/>
          <w:color w:val="003b4f"/>
          <w:sz w:val="22"/>
          <w:szCs w:val="22"/>
          <w:rtl w:val="0"/>
        </w:rPr>
        <w:t xml:space="preserve"> gender,</w:t>
        <w:br w:type="textWrapping"/>
        <w:t xml:space="preserve">                        </w:t>
        <w:tab/>
      </w:r>
      <w:r w:rsidDel="00000000" w:rsidR="00000000" w:rsidRPr="00000000">
        <w:rPr>
          <w:rFonts w:ascii="Consolas" w:cs="Consolas" w:eastAsia="Consolas" w:hAnsi="Consolas"/>
          <w:color w:val="657422"/>
          <w:sz w:val="22"/>
          <w:szCs w:val="22"/>
          <w:rtl w:val="0"/>
        </w:rPr>
        <w:t xml:space="preserve">itemtype =</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"graded"</w:t>
      </w:r>
      <w:r w:rsidDel="00000000" w:rsidR="00000000" w:rsidRPr="00000000">
        <w:rPr>
          <w:rFonts w:ascii="Consolas" w:cs="Consolas" w:eastAsia="Consolas" w:hAnsi="Consolas"/>
          <w:color w:val="003b4f"/>
          <w:sz w:val="22"/>
          <w:szCs w:val="22"/>
          <w:rtl w:val="0"/>
        </w:rPr>
        <w:t xml:space="preserve">,</w:t>
        <w:br w:type="textWrapping"/>
        <w:t xml:space="preserve">                        </w:t>
        <w:tab/>
      </w:r>
      <w:r w:rsidDel="00000000" w:rsidR="00000000" w:rsidRPr="00000000">
        <w:rPr>
          <w:rFonts w:ascii="Consolas" w:cs="Consolas" w:eastAsia="Consolas" w:hAnsi="Consolas"/>
          <w:color w:val="657422"/>
          <w:sz w:val="22"/>
          <w:szCs w:val="22"/>
          <w:rtl w:val="0"/>
        </w:rPr>
        <w:t xml:space="preserve">SE =</w:t>
      </w:r>
      <w:r w:rsidDel="00000000" w:rsidR="00000000" w:rsidRPr="00000000">
        <w:rPr>
          <w:rFonts w:ascii="Consolas" w:cs="Consolas" w:eastAsia="Consolas" w:hAnsi="Consolas"/>
          <w:color w:val="003b4f"/>
          <w:sz w:val="22"/>
          <w:szCs w:val="22"/>
          <w:rtl w:val="0"/>
        </w:rPr>
        <w:t xml:space="preserve"> T) </w:t>
      </w:r>
      <w:r w:rsidDel="00000000" w:rsidR="00000000" w:rsidRPr="00000000">
        <w:rPr>
          <w:rFonts w:ascii="Consolas" w:cs="Consolas" w:eastAsia="Consolas" w:hAnsi="Consolas"/>
          <w:color w:val="5e5e5e"/>
          <w:sz w:val="22"/>
          <w:szCs w:val="22"/>
          <w:rtl w:val="0"/>
        </w:rPr>
        <w:t xml:space="preserve"># &lt;- make sure to request SEs</w:t>
      </w:r>
    </w:p>
    <w:p w:rsidR="00000000" w:rsidDel="00000000" w:rsidP="00000000" w:rsidRDefault="00000000" w:rsidRPr="00000000" w14:paraId="000000A9">
      <w:pPr>
        <w:pStyle w:val="Heading2"/>
        <w:keepNext w:val="0"/>
        <w:keepLines w:val="0"/>
        <w:rPr/>
      </w:pPr>
      <w:bookmarkStart w:colFirst="0" w:colLast="0" w:name="_heading=h.lczay0d37470" w:id="33"/>
      <w:bookmarkEnd w:id="33"/>
      <w:r w:rsidDel="00000000" w:rsidR="00000000" w:rsidRPr="00000000">
        <w:rPr>
          <w:rtl w:val="0"/>
        </w:rPr>
      </w:r>
    </w:p>
    <w:p w:rsidR="00000000" w:rsidDel="00000000" w:rsidP="00000000" w:rsidRDefault="00000000" w:rsidRPr="00000000" w14:paraId="000000AA">
      <w:pPr>
        <w:pStyle w:val="Heading2"/>
        <w:keepNext w:val="0"/>
        <w:keepLines w:val="0"/>
        <w:rPr/>
      </w:pPr>
      <w:bookmarkStart w:colFirst="0" w:colLast="0" w:name="_heading=h.4lnqfq3trpyc" w:id="34"/>
      <w:bookmarkEnd w:id="34"/>
      <w:r w:rsidDel="00000000" w:rsidR="00000000" w:rsidRPr="00000000">
        <w:rPr>
          <w:rtl w:val="0"/>
        </w:rPr>
        <w:t xml:space="preserve">Paso </w:t>
      </w:r>
      <w:r w:rsidDel="00000000" w:rsidR="00000000" w:rsidRPr="00000000">
        <w:rPr>
          <w:rtl w:val="0"/>
        </w:rPr>
        <w:t xml:space="preserve">2. Extraer los parámetros del modelo</w:t>
      </w:r>
    </w:p>
    <w:p w:rsidR="00000000" w:rsidDel="00000000" w:rsidP="00000000" w:rsidRDefault="00000000" w:rsidRPr="00000000" w14:paraId="000000AB">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Extraer los parámetros del modelo en mirt</w:t>
      </w:r>
    </w:p>
    <w:p w:rsidR="00000000" w:rsidDel="00000000" w:rsidP="00000000" w:rsidRDefault="00000000" w:rsidRPr="00000000" w14:paraId="000000AC">
      <w:pPr>
        <w:shd w:fill="f1f3f5" w:val="clear"/>
        <w:rPr>
          <w:rFonts w:ascii="Consolas" w:cs="Consolas" w:eastAsia="Consolas" w:hAnsi="Consolas"/>
          <w:color w:val="003b4f"/>
          <w:sz w:val="22"/>
          <w:szCs w:val="22"/>
        </w:rPr>
      </w:pPr>
      <w:r w:rsidDel="00000000" w:rsidR="00000000" w:rsidRPr="00000000">
        <w:rPr>
          <w:rFonts w:ascii="Consolas" w:cs="Consolas" w:eastAsia="Consolas" w:hAnsi="Consolas"/>
          <w:color w:val="5e5e5e"/>
          <w:sz w:val="22"/>
          <w:szCs w:val="22"/>
          <w:rtl w:val="0"/>
        </w:rPr>
        <w:t xml:space="preserve"># Extraer parámetros del modelo</w:t>
        <w:br w:type="textWrapping"/>
      </w:r>
      <w:r w:rsidDel="00000000" w:rsidR="00000000" w:rsidRPr="00000000">
        <w:rPr>
          <w:rFonts w:ascii="Consolas" w:cs="Consolas" w:eastAsia="Consolas" w:hAnsi="Consolas"/>
          <w:color w:val="003b4f"/>
          <w:sz w:val="22"/>
          <w:szCs w:val="22"/>
          <w:rtl w:val="0"/>
        </w:rPr>
        <w:t xml:space="preserve">mirt.parms &lt;- </w:t>
      </w:r>
      <w:r w:rsidDel="00000000" w:rsidR="00000000" w:rsidRPr="00000000">
        <w:rPr>
          <w:rFonts w:ascii="Consolas" w:cs="Consolas" w:eastAsia="Consolas" w:hAnsi="Consolas"/>
          <w:color w:val="4758ab"/>
          <w:sz w:val="22"/>
          <w:szCs w:val="22"/>
          <w:rtl w:val="0"/>
        </w:rPr>
        <w:t xml:space="preserve">get_model_parms</w:t>
      </w:r>
      <w:r w:rsidDel="00000000" w:rsidR="00000000" w:rsidRPr="00000000">
        <w:rPr>
          <w:rFonts w:ascii="Consolas" w:cs="Consolas" w:eastAsia="Consolas" w:hAnsi="Consolas"/>
          <w:color w:val="003b4f"/>
          <w:sz w:val="22"/>
          <w:szCs w:val="22"/>
          <w:rtl w:val="0"/>
        </w:rPr>
        <w:t xml:space="preserve">(config.mod)</w:t>
        <w:br w:type="textWrapping"/>
        <w:br w:type="textWrapping"/>
      </w:r>
      <w:r w:rsidDel="00000000" w:rsidR="00000000" w:rsidRPr="00000000">
        <w:rPr>
          <w:rFonts w:ascii="Consolas" w:cs="Consolas" w:eastAsia="Consolas" w:hAnsi="Consolas"/>
          <w:i w:val="1"/>
          <w:color w:val="5e5e5e"/>
          <w:sz w:val="22"/>
          <w:szCs w:val="22"/>
          <w:rtl w:val="0"/>
        </w:rPr>
        <w:t xml:space="preserve">## Comprobar el output</w:t>
        <w:br w:type="textWrapping"/>
      </w:r>
      <w:r w:rsidDel="00000000" w:rsidR="00000000" w:rsidRPr="00000000">
        <w:rPr>
          <w:rFonts w:ascii="Consolas" w:cs="Consolas" w:eastAsia="Consolas" w:hAnsi="Consolas"/>
          <w:color w:val="003b4f"/>
          <w:sz w:val="22"/>
          <w:szCs w:val="22"/>
          <w:rtl w:val="0"/>
        </w:rPr>
        <w:t xml:space="preserve">mirt.parms</w:t>
      </w:r>
      <w:r w:rsidDel="00000000" w:rsidR="00000000" w:rsidRPr="00000000">
        <w:rPr>
          <w:rFonts w:ascii="Consolas" w:cs="Consolas" w:eastAsia="Consolas" w:hAnsi="Consolas"/>
          <w:color w:val="5e5e5e"/>
          <w:sz w:val="22"/>
          <w:szCs w:val="22"/>
          <w:rtl w:val="0"/>
        </w:rPr>
        <w:t xml:space="preserve">$</w:t>
      </w:r>
      <w:r w:rsidDel="00000000" w:rsidR="00000000" w:rsidRPr="00000000">
        <w:rPr>
          <w:rFonts w:ascii="Consolas" w:cs="Consolas" w:eastAsia="Consolas" w:hAnsi="Consolas"/>
          <w:color w:val="003b4f"/>
          <w:sz w:val="22"/>
          <w:szCs w:val="22"/>
          <w:rtl w:val="0"/>
        </w:rPr>
        <w:t xml:space="preserve">est</w:t>
      </w:r>
    </w:p>
    <w:p w:rsidR="00000000" w:rsidDel="00000000" w:rsidP="00000000" w:rsidRDefault="00000000" w:rsidRPr="00000000" w14:paraId="000000AD">
      <w:pPr>
        <w:pStyle w:val="Heading2"/>
        <w:keepNext w:val="0"/>
        <w:keepLines w:val="0"/>
        <w:rPr/>
      </w:pPr>
      <w:bookmarkStart w:colFirst="0" w:colLast="0" w:name="_heading=h.whz9h7why9fi" w:id="35"/>
      <w:bookmarkEnd w:id="35"/>
      <w:r w:rsidDel="00000000" w:rsidR="00000000" w:rsidRPr="00000000">
        <w:rPr>
          <w:rtl w:val="0"/>
        </w:rPr>
        <w:t xml:space="preserve">Paso 2</w:t>
      </w:r>
      <w:r w:rsidDel="00000000" w:rsidR="00000000" w:rsidRPr="00000000">
        <w:rPr>
          <w:rtl w:val="0"/>
        </w:rPr>
        <w:t xml:space="preserve">. Extraer los parámetros del modelo</w:t>
      </w:r>
    </w:p>
    <w:p w:rsidR="00000000" w:rsidDel="00000000" w:rsidP="00000000" w:rsidRDefault="00000000" w:rsidRPr="00000000" w14:paraId="000000AE">
      <w:pPr>
        <w:rPr/>
      </w:pPr>
      <w:r w:rsidDel="00000000" w:rsidR="00000000" w:rsidRPr="00000000">
        <w:rPr/>
        <w:drawing>
          <wp:inline distB="114300" distT="114300" distL="114300" distR="114300">
            <wp:extent cx="5943600" cy="5080000"/>
            <wp:effectExtent b="0" l="0" r="0" t="0"/>
            <wp:docPr id="1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5080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Style w:val="Heading2"/>
        <w:keepNext w:val="0"/>
        <w:keepLines w:val="0"/>
        <w:rPr/>
      </w:pPr>
      <w:bookmarkStart w:colFirst="0" w:colLast="0" w:name="_heading=h.gngxsjw7x93z" w:id="36"/>
      <w:bookmarkEnd w:id="36"/>
      <w:r w:rsidDel="00000000" w:rsidR="00000000" w:rsidRPr="00000000">
        <w:rPr>
          <w:rtl w:val="0"/>
        </w:rPr>
        <w:t xml:space="preserve">Paso 3</w:t>
      </w:r>
      <w:r w:rsidDel="00000000" w:rsidR="00000000" w:rsidRPr="00000000">
        <w:rPr>
          <w:rtl w:val="0"/>
        </w:rPr>
        <w:t xml:space="preserve">. Correr un análisis FDI robusto</w:t>
      </w:r>
    </w:p>
    <w:p w:rsidR="00000000" w:rsidDel="00000000" w:rsidP="00000000" w:rsidRDefault="00000000" w:rsidRPr="00000000" w14:paraId="000000B0">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onsolas" w:cs="Consolas" w:eastAsia="Consolas" w:hAnsi="Consolas"/>
          <w:sz w:val="22"/>
          <w:szCs w:val="22"/>
          <w:shd w:fill="f1f3f5" w:val="clear"/>
          <w:rtl w:val="0"/>
        </w:rPr>
        <w:t xml:space="preserve">rdif</w:t>
      </w:r>
      <w:r w:rsidDel="00000000" w:rsidR="00000000" w:rsidRPr="00000000">
        <w:rPr>
          <w:rtl w:val="0"/>
        </w:rPr>
        <w:t xml:space="preserve"> es una función interna para la estimación</w:t>
      </w:r>
    </w:p>
    <w:p w:rsidR="00000000" w:rsidDel="00000000" w:rsidP="00000000" w:rsidRDefault="00000000" w:rsidRPr="00000000" w14:paraId="000000B1">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onsolas" w:cs="Consolas" w:eastAsia="Consolas" w:hAnsi="Consolas"/>
          <w:sz w:val="22"/>
          <w:szCs w:val="22"/>
          <w:shd w:fill="f1f3f5" w:val="clear"/>
          <w:rtl w:val="0"/>
        </w:rPr>
        <w:t xml:space="preserve">rdif_z_test</w:t>
      </w:r>
      <w:r w:rsidDel="00000000" w:rsidR="00000000" w:rsidRPr="00000000">
        <w:rPr>
          <w:rtl w:val="0"/>
        </w:rPr>
        <w:t xml:space="preserve"> y </w:t>
      </w:r>
      <w:r w:rsidDel="00000000" w:rsidR="00000000" w:rsidRPr="00000000">
        <w:rPr>
          <w:rFonts w:ascii="Consolas" w:cs="Consolas" w:eastAsia="Consolas" w:hAnsi="Consolas"/>
          <w:sz w:val="22"/>
          <w:szCs w:val="22"/>
          <w:shd w:fill="f1f3f5" w:val="clear"/>
          <w:rtl w:val="0"/>
        </w:rPr>
        <w:t xml:space="preserve">rdif_chisq_test</w:t>
      </w:r>
      <w:r w:rsidDel="00000000" w:rsidR="00000000" w:rsidRPr="00000000">
        <w:rPr>
          <w:rtl w:val="0"/>
        </w:rPr>
        <w:t xml:space="preserve"> para un output fácil de entender para los usuarios</w:t>
        <w:br w:type="textWrapping"/>
        <w:t xml:space="preserve"> </w:t>
      </w:r>
    </w:p>
    <w:p w:rsidR="00000000" w:rsidDel="00000000" w:rsidP="00000000" w:rsidRDefault="00000000" w:rsidRPr="00000000" w14:paraId="000000B2">
      <w:pPr>
        <w:shd w:fill="f1f3f5" w:val="clear"/>
        <w:rPr>
          <w:rFonts w:ascii="Consolas" w:cs="Consolas" w:eastAsia="Consolas" w:hAnsi="Consolas"/>
          <w:color w:val="003b4f"/>
          <w:sz w:val="22"/>
          <w:szCs w:val="22"/>
        </w:rPr>
      </w:pPr>
      <w:r w:rsidDel="00000000" w:rsidR="00000000" w:rsidRPr="00000000">
        <w:rPr>
          <w:rFonts w:ascii="Consolas" w:cs="Consolas" w:eastAsia="Consolas" w:hAnsi="Consolas"/>
          <w:color w:val="5e5e5e"/>
          <w:sz w:val="22"/>
          <w:szCs w:val="22"/>
          <w:rtl w:val="0"/>
        </w:rPr>
        <w:t xml:space="preserve"># "raw" ouput con ponderaciones</w:t>
        <w:br w:type="textWrapping"/>
      </w:r>
      <w:r w:rsidDel="00000000" w:rsidR="00000000" w:rsidRPr="00000000">
        <w:rPr>
          <w:rFonts w:ascii="Consolas" w:cs="Consolas" w:eastAsia="Consolas" w:hAnsi="Consolas"/>
          <w:color w:val="4758ab"/>
          <w:sz w:val="22"/>
          <w:szCs w:val="22"/>
          <w:rtl w:val="0"/>
        </w:rPr>
        <w:t xml:space="preserve">rdif</w:t>
      </w:r>
      <w:r w:rsidDel="00000000" w:rsidR="00000000" w:rsidRPr="00000000">
        <w:rPr>
          <w:rFonts w:ascii="Consolas" w:cs="Consolas" w:eastAsia="Consolas" w:hAnsi="Consolas"/>
          <w:color w:val="003b4f"/>
          <w:sz w:val="22"/>
          <w:szCs w:val="22"/>
          <w:rtl w:val="0"/>
        </w:rPr>
        <w:t xml:space="preserve">(mirt.parms, </w:t>
      </w:r>
      <w:r w:rsidDel="00000000" w:rsidR="00000000" w:rsidRPr="00000000">
        <w:rPr>
          <w:rFonts w:ascii="Consolas" w:cs="Consolas" w:eastAsia="Consolas" w:hAnsi="Consolas"/>
          <w:color w:val="657422"/>
          <w:sz w:val="22"/>
          <w:szCs w:val="22"/>
          <w:rtl w:val="0"/>
        </w:rPr>
        <w:t xml:space="preserve">par =</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"intercepts"</w:t>
      </w:r>
      <w:r w:rsidDel="00000000" w:rsidR="00000000" w:rsidRPr="00000000">
        <w:rPr>
          <w:rFonts w:ascii="Consolas" w:cs="Consolas" w:eastAsia="Consolas" w:hAnsi="Consolas"/>
          <w:color w:val="003b4f"/>
          <w:sz w:val="22"/>
          <w:szCs w:val="22"/>
          <w:rtl w:val="0"/>
        </w:rPr>
        <w:t xml:space="preserve">)</w:t>
        <w:br w:type="textWrapping"/>
        <w:br w:type="textWrapping"/>
      </w:r>
      <w:r w:rsidDel="00000000" w:rsidR="00000000" w:rsidRPr="00000000">
        <w:rPr>
          <w:rFonts w:ascii="Consolas" w:cs="Consolas" w:eastAsia="Consolas" w:hAnsi="Consolas"/>
          <w:color w:val="5e5e5e"/>
          <w:sz w:val="22"/>
          <w:szCs w:val="22"/>
          <w:rtl w:val="0"/>
        </w:rPr>
        <w:t xml:space="preserve"># z_test para cada parámetro</w:t>
        <w:br w:type="textWrapping"/>
      </w:r>
      <w:r w:rsidDel="00000000" w:rsidR="00000000" w:rsidRPr="00000000">
        <w:rPr>
          <w:rFonts w:ascii="Consolas" w:cs="Consolas" w:eastAsia="Consolas" w:hAnsi="Consolas"/>
          <w:color w:val="4758ab"/>
          <w:sz w:val="22"/>
          <w:szCs w:val="22"/>
          <w:rtl w:val="0"/>
        </w:rPr>
        <w:t xml:space="preserve">rdif_z_test</w:t>
      </w:r>
      <w:r w:rsidDel="00000000" w:rsidR="00000000" w:rsidRPr="00000000">
        <w:rPr>
          <w:rFonts w:ascii="Consolas" w:cs="Consolas" w:eastAsia="Consolas" w:hAnsi="Consolas"/>
          <w:color w:val="003b4f"/>
          <w:sz w:val="22"/>
          <w:szCs w:val="22"/>
          <w:rtl w:val="0"/>
        </w:rPr>
        <w:t xml:space="preserve">(mirt.parms, </w:t>
      </w:r>
      <w:r w:rsidDel="00000000" w:rsidR="00000000" w:rsidRPr="00000000">
        <w:rPr>
          <w:rFonts w:ascii="Consolas" w:cs="Consolas" w:eastAsia="Consolas" w:hAnsi="Consolas"/>
          <w:color w:val="657422"/>
          <w:sz w:val="22"/>
          <w:szCs w:val="22"/>
          <w:rtl w:val="0"/>
        </w:rPr>
        <w:t xml:space="preserve">par =</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"intercepts"</w:t>
      </w:r>
      <w:r w:rsidDel="00000000" w:rsidR="00000000" w:rsidRPr="00000000">
        <w:rPr>
          <w:rFonts w:ascii="Consolas" w:cs="Consolas" w:eastAsia="Consolas" w:hAnsi="Consolas"/>
          <w:color w:val="003b4f"/>
          <w:sz w:val="22"/>
          <w:szCs w:val="22"/>
          <w:rtl w:val="0"/>
        </w:rPr>
        <w:t xml:space="preserve">)</w:t>
        <w:br w:type="textWrapping"/>
        <w:br w:type="textWrapping"/>
      </w:r>
      <w:r w:rsidDel="00000000" w:rsidR="00000000" w:rsidRPr="00000000">
        <w:rPr>
          <w:rFonts w:ascii="Consolas" w:cs="Consolas" w:eastAsia="Consolas" w:hAnsi="Consolas"/>
          <w:color w:val="5e5e5e"/>
          <w:sz w:val="22"/>
          <w:szCs w:val="22"/>
          <w:rtl w:val="0"/>
        </w:rPr>
        <w:t xml:space="preserve"># Pruebas chi_sq para DIF a nivel de ítem (incluyendo las pendientes)</w:t>
        <w:br w:type="textWrapping"/>
      </w:r>
      <w:r w:rsidDel="00000000" w:rsidR="00000000" w:rsidRPr="00000000">
        <w:rPr>
          <w:rFonts w:ascii="Consolas" w:cs="Consolas" w:eastAsia="Consolas" w:hAnsi="Consolas"/>
          <w:color w:val="4758ab"/>
          <w:sz w:val="22"/>
          <w:szCs w:val="22"/>
          <w:rtl w:val="0"/>
        </w:rPr>
        <w:t xml:space="preserve">rdif_chisq_test</w:t>
      </w:r>
      <w:r w:rsidDel="00000000" w:rsidR="00000000" w:rsidRPr="00000000">
        <w:rPr>
          <w:rFonts w:ascii="Consolas" w:cs="Consolas" w:eastAsia="Consolas" w:hAnsi="Consolas"/>
          <w:color w:val="003b4f"/>
          <w:sz w:val="22"/>
          <w:szCs w:val="22"/>
          <w:rtl w:val="0"/>
        </w:rPr>
        <w:t xml:space="preserve">(mirt.parms)</w:t>
      </w:r>
    </w:p>
    <w:p w:rsidR="00000000" w:rsidDel="00000000" w:rsidP="00000000" w:rsidRDefault="00000000" w:rsidRPr="00000000" w14:paraId="000000B3">
      <w:pPr>
        <w:pStyle w:val="Heading2"/>
        <w:keepNext w:val="0"/>
        <w:keepLines w:val="0"/>
        <w:rPr/>
      </w:pPr>
      <w:bookmarkStart w:colFirst="0" w:colLast="0" w:name="_heading=h.21asfzm9u4b5" w:id="37"/>
      <w:bookmarkEnd w:id="37"/>
      <w:r w:rsidDel="00000000" w:rsidR="00000000" w:rsidRPr="00000000">
        <w:rPr>
          <w:rtl w:val="0"/>
        </w:rPr>
      </w:r>
    </w:p>
    <w:p w:rsidR="00000000" w:rsidDel="00000000" w:rsidP="00000000" w:rsidRDefault="00000000" w:rsidRPr="00000000" w14:paraId="000000B4">
      <w:pPr>
        <w:pStyle w:val="Heading2"/>
        <w:keepNext w:val="0"/>
        <w:keepLines w:val="0"/>
        <w:rPr/>
      </w:pPr>
      <w:bookmarkStart w:colFirst="0" w:colLast="0" w:name="_heading=h.krj2z4cb2oty" w:id="38"/>
      <w:bookmarkEnd w:id="38"/>
      <w:r w:rsidDel="00000000" w:rsidR="00000000" w:rsidRPr="00000000">
        <w:rPr>
          <w:rtl w:val="0"/>
        </w:rPr>
        <w:t xml:space="preserve">Paso 3. Correr un análisis FDI robusto</w:t>
      </w:r>
    </w:p>
    <w:p w:rsidR="00000000" w:rsidDel="00000000" w:rsidP="00000000" w:rsidRDefault="00000000" w:rsidRPr="00000000" w14:paraId="000000B5">
      <w:pPr>
        <w:jc w:val="center"/>
        <w:rPr/>
      </w:pPr>
      <w:r w:rsidDel="00000000" w:rsidR="00000000" w:rsidRPr="00000000">
        <w:rPr/>
        <w:drawing>
          <wp:inline distB="114300" distT="114300" distL="114300" distR="114300">
            <wp:extent cx="3148013" cy="7096367"/>
            <wp:effectExtent b="0" l="0" r="0" t="0"/>
            <wp:docPr id="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148013" cy="7096367"/>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Style w:val="Heading2"/>
        <w:keepNext w:val="0"/>
        <w:keepLines w:val="0"/>
        <w:rPr/>
      </w:pPr>
      <w:bookmarkStart w:colFirst="0" w:colLast="0" w:name="_heading=h.bkltx06dhr57" w:id="39"/>
      <w:bookmarkEnd w:id="39"/>
      <w:r w:rsidDel="00000000" w:rsidR="00000000" w:rsidRPr="00000000">
        <w:rPr>
          <w:rtl w:val="0"/>
        </w:rPr>
        <w:t xml:space="preserve">Paso 3. Correr un análisis FDI robusto</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jc w:val="center"/>
        <w:rPr/>
      </w:pPr>
      <w:r w:rsidDel="00000000" w:rsidR="00000000" w:rsidRPr="00000000">
        <w:rPr/>
        <w:drawing>
          <wp:inline distB="114300" distT="114300" distL="114300" distR="114300">
            <wp:extent cx="3848100" cy="2762250"/>
            <wp:effectExtent b="0" l="0" r="0" t="0"/>
            <wp:docPr id="2"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84810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Style w:val="Heading2"/>
        <w:keepNext w:val="0"/>
        <w:keepLines w:val="0"/>
        <w:rPr/>
      </w:pPr>
      <w:bookmarkStart w:colFirst="0" w:colLast="0" w:name="_heading=h.285c79gbqcu7" w:id="40"/>
      <w:bookmarkEnd w:id="40"/>
      <w:r w:rsidDel="00000000" w:rsidR="00000000" w:rsidRPr="00000000">
        <w:rPr>
          <w:rtl w:val="0"/>
        </w:rPr>
        <w:t xml:space="preserve">Paso 3. Correr un análisis FDI robusto</w:t>
      </w:r>
      <w:r w:rsidDel="00000000" w:rsidR="00000000" w:rsidRPr="00000000">
        <w:rPr>
          <w:rtl w:val="0"/>
        </w:rPr>
      </w:r>
    </w:p>
    <w:p w:rsidR="00000000" w:rsidDel="00000000" w:rsidP="00000000" w:rsidRDefault="00000000" w:rsidRPr="00000000" w14:paraId="000000BA">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Nótese que en la prueba LR sólo</w:t>
      </w:r>
      <w:r w:rsidDel="00000000" w:rsidR="00000000" w:rsidRPr="00000000">
        <w:rPr>
          <w:rtl w:val="0"/>
        </w:rPr>
        <w:t xml:space="preserve"> </w:t>
      </w:r>
      <w:r w:rsidDel="00000000" w:rsidR="00000000" w:rsidRPr="00000000">
        <w:rPr>
          <w:rFonts w:ascii="Consolas" w:cs="Consolas" w:eastAsia="Consolas" w:hAnsi="Consolas"/>
          <w:sz w:val="22"/>
          <w:szCs w:val="22"/>
          <w:shd w:fill="f1f3f5" w:val="clear"/>
          <w:rtl w:val="0"/>
        </w:rPr>
        <w:t xml:space="preserve">cint29</w:t>
      </w:r>
      <w:r w:rsidDel="00000000" w:rsidR="00000000" w:rsidRPr="00000000">
        <w:rPr>
          <w:rtl w:val="0"/>
        </w:rPr>
        <w:t xml:space="preserve"> y </w:t>
      </w:r>
      <w:r w:rsidDel="00000000" w:rsidR="00000000" w:rsidRPr="00000000">
        <w:rPr>
          <w:rFonts w:ascii="Consolas" w:cs="Consolas" w:eastAsia="Consolas" w:hAnsi="Consolas"/>
          <w:sz w:val="22"/>
          <w:szCs w:val="22"/>
          <w:shd w:fill="f1f3f5" w:val="clear"/>
          <w:rtl w:val="0"/>
        </w:rPr>
        <w:t xml:space="preserve">cint30</w:t>
      </w:r>
      <w:r w:rsidDel="00000000" w:rsidR="00000000" w:rsidRPr="00000000">
        <w:rPr>
          <w:rtl w:val="0"/>
        </w:rPr>
        <w:t xml:space="preserve"> resultaron tener FDI</w:t>
      </w:r>
    </w:p>
    <w:p w:rsidR="00000000" w:rsidDel="00000000" w:rsidP="00000000" w:rsidRDefault="00000000" w:rsidRPr="00000000" w14:paraId="000000BB">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Estudiaremos juntos el FDI en las pendientes de los ítems durante el taller</w:t>
      </w:r>
    </w:p>
    <w:p w:rsidR="00000000" w:rsidDel="00000000" w:rsidP="00000000" w:rsidRDefault="00000000" w:rsidRPr="00000000" w14:paraId="000000BC">
      <w:pPr>
        <w:spacing w:after="40" w:before="40" w:lineRule="auto"/>
        <w:ind w:left="1200" w:hanging="480"/>
        <w:rPr/>
      </w:pPr>
      <w:r w:rsidDel="00000000" w:rsidR="00000000" w:rsidRPr="00000000">
        <w:rPr>
          <w:rtl w:val="0"/>
        </w:rPr>
      </w:r>
    </w:p>
    <w:p w:rsidR="00000000" w:rsidDel="00000000" w:rsidP="00000000" w:rsidRDefault="00000000" w:rsidRPr="00000000" w14:paraId="000000BD">
      <w:pPr>
        <w:shd w:fill="f1f3f5" w:val="clear"/>
        <w:rPr>
          <w:rFonts w:ascii="Consolas" w:cs="Consolas" w:eastAsia="Consolas" w:hAnsi="Consolas"/>
          <w:sz w:val="22"/>
          <w:szCs w:val="22"/>
        </w:rPr>
      </w:pPr>
      <w:r w:rsidDel="00000000" w:rsidR="00000000" w:rsidRPr="00000000">
        <w:rPr>
          <w:rFonts w:ascii="Consolas" w:cs="Consolas" w:eastAsia="Consolas" w:hAnsi="Consolas"/>
          <w:sz w:val="22"/>
          <w:szCs w:val="22"/>
          <w:rtl w:val="0"/>
        </w:rPr>
        <w:t xml:space="preserve"># Análisis DIF para pendientes de los ítems con mirt</w:t>
        <w:br w:type="textWrapping"/>
        <w:t xml:space="preserve">strong.invariance &lt;- c("free_mean", "free_var", "slopes", "intercepts")</w:t>
        <w:br w:type="textWrapping"/>
        <w:t xml:space="preserve">strong.mod &lt;- multipleGroup(depression_items,</w:t>
        <w:br w:type="textWrapping"/>
        <w:t xml:space="preserve">                        </w:t>
        <w:tab/>
        <w:t xml:space="preserve">group = gender,</w:t>
        <w:br w:type="textWrapping"/>
        <w:t xml:space="preserve">                        </w:t>
        <w:tab/>
        <w:t xml:space="preserve">itemtype = "graded",</w:t>
        <w:br w:type="textWrapping"/>
        <w:t xml:space="preserve">                        </w:t>
        <w:tab/>
        <w:t xml:space="preserve">invariance = strong.invariance)</w:t>
        <w:br w:type="textWrapping"/>
        <w:br w:type="textWrapping"/>
        <w:t xml:space="preserve">DIF(strong.mod,</w:t>
        <w:br w:type="textWrapping"/>
        <w:tab/>
        <w:t xml:space="preserve">which.par = c("a1"),</w:t>
        <w:br w:type="textWrapping"/>
        <w:tab/>
        <w:t xml:space="preserve">scheme = "drop")</w:t>
        <w:br w:type="textWrapping"/>
        <w:br w:type="textWrapping"/>
        <w:t xml:space="preserve"># Y con robustDIF</w:t>
        <w:br w:type="textWrapping"/>
        <w:t xml:space="preserve">rdif_z_test(mirt.parms, par = "slopes")</w:t>
      </w:r>
    </w:p>
    <w:p w:rsidR="00000000" w:rsidDel="00000000" w:rsidP="00000000" w:rsidRDefault="00000000" w:rsidRPr="00000000" w14:paraId="000000BE">
      <w:pPr>
        <w:pStyle w:val="Heading2"/>
        <w:keepNext w:val="0"/>
        <w:keepLines w:val="0"/>
        <w:rPr/>
      </w:pPr>
      <w:bookmarkStart w:colFirst="0" w:colLast="0" w:name="_heading=h.4gu69auhbrag" w:id="41"/>
      <w:bookmarkEnd w:id="41"/>
      <w:r w:rsidDel="00000000" w:rsidR="00000000" w:rsidRPr="00000000">
        <w:rPr>
          <w:rtl w:val="0"/>
        </w:rPr>
      </w:r>
    </w:p>
    <w:p w:rsidR="00000000" w:rsidDel="00000000" w:rsidP="00000000" w:rsidRDefault="00000000" w:rsidRPr="00000000" w14:paraId="000000BF">
      <w:pPr>
        <w:pStyle w:val="Heading2"/>
        <w:keepNext w:val="0"/>
        <w:keepLines w:val="0"/>
        <w:rPr/>
      </w:pPr>
      <w:bookmarkStart w:colFirst="0" w:colLast="0" w:name="_heading=h.bcm14z53hkqo" w:id="42"/>
      <w:bookmarkEnd w:id="42"/>
      <w:r w:rsidDel="00000000" w:rsidR="00000000" w:rsidRPr="00000000">
        <w:rPr>
          <w:rtl w:val="0"/>
        </w:rPr>
        <w:t xml:space="preserve">Resumen del ejemplo</w:t>
      </w:r>
      <w:r w:rsidDel="00000000" w:rsidR="00000000" w:rsidRPr="00000000">
        <w:rPr>
          <w:rtl w:val="0"/>
        </w:rPr>
      </w:r>
    </w:p>
    <w:p w:rsidR="00000000" w:rsidDel="00000000" w:rsidP="00000000" w:rsidRDefault="00000000" w:rsidRPr="00000000" w14:paraId="000000C0">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Conclusiones similares a las de la prueba LR, pero no exactamente iguales</w:t>
      </w:r>
      <w:r w:rsidDel="00000000" w:rsidR="00000000" w:rsidRPr="00000000">
        <w:rPr>
          <w:rtl w:val="0"/>
        </w:rPr>
      </w:r>
    </w:p>
    <w:p w:rsidR="00000000" w:rsidDel="00000000" w:rsidP="00000000" w:rsidRDefault="00000000" w:rsidRPr="00000000" w14:paraId="000000C1">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Prueba de los umbrales de los ítems encontró los mismos ítems que la prueba LR </w:t>
      </w:r>
    </w:p>
    <w:p w:rsidR="00000000" w:rsidDel="00000000" w:rsidP="00000000" w:rsidRDefault="00000000" w:rsidRPr="00000000" w14:paraId="000000C2">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La prueba de chi-cuadrado encontró 2 ítems adicionales con FDI (debido a las pendientes) </w:t>
      </w:r>
    </w:p>
    <w:p w:rsidR="00000000" w:rsidDel="00000000" w:rsidP="00000000" w:rsidRDefault="00000000" w:rsidRPr="00000000" w14:paraId="000000C3">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Próximos pasos</w:t>
      </w:r>
    </w:p>
    <w:p w:rsidR="00000000" w:rsidDel="00000000" w:rsidP="00000000" w:rsidRDefault="00000000" w:rsidRPr="00000000" w14:paraId="000000C4">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Puede seguirse con un modelo de invarianza parcial como antes para examinar los efectos a nivel de ítem.</w:t>
      </w:r>
    </w:p>
    <w:p w:rsidR="00000000" w:rsidDel="00000000" w:rsidP="00000000" w:rsidRDefault="00000000" w:rsidRPr="00000000" w14:paraId="000000C5">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Podría considerarse revisar u omitir ítems …</w:t>
      </w:r>
    </w:p>
    <w:p w:rsidR="00000000" w:rsidDel="00000000" w:rsidP="00000000" w:rsidRDefault="00000000" w:rsidRPr="00000000" w14:paraId="000000C6">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Otras preocupaciones</w:t>
      </w:r>
    </w:p>
    <w:p w:rsidR="00000000" w:rsidDel="00000000" w:rsidP="00000000" w:rsidRDefault="00000000" w:rsidRPr="00000000" w14:paraId="000000C7">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Diferentes métodos de FDI conducen a conclusiones distintas (en general)</w:t>
      </w:r>
    </w:p>
    <w:p w:rsidR="00000000" w:rsidDel="00000000" w:rsidP="00000000" w:rsidRDefault="00000000" w:rsidRPr="00000000" w14:paraId="000000C8">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¿Afecta todo esto a las conclusiones sobre el impacto?</w:t>
      </w:r>
    </w:p>
    <w:p w:rsidR="00000000" w:rsidDel="00000000" w:rsidP="00000000" w:rsidRDefault="00000000" w:rsidRPr="00000000" w14:paraId="000000C9">
      <w:pPr>
        <w:pStyle w:val="Heading1"/>
        <w:keepNext w:val="0"/>
        <w:keepLines w:val="0"/>
        <w:rPr/>
      </w:pPr>
      <w:bookmarkStart w:colFirst="0" w:colLast="0" w:name="_heading=h.whkw6s97virj" w:id="43"/>
      <w:bookmarkEnd w:id="43"/>
      <w:r w:rsidDel="00000000" w:rsidR="00000000" w:rsidRPr="00000000">
        <w:rPr>
          <w:rtl w:val="0"/>
        </w:rPr>
        <w:t xml:space="preserve">FTD</w:t>
      </w:r>
    </w:p>
    <w:p w:rsidR="00000000" w:rsidDel="00000000" w:rsidP="00000000" w:rsidRDefault="00000000" w:rsidRPr="00000000" w14:paraId="000000CA">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Funcionamiento diferencial de la prueba: ¿afecta el FDI a las conclusiones sobre el impacto?</w:t>
      </w:r>
    </w:p>
    <w:p w:rsidR="00000000" w:rsidDel="00000000" w:rsidP="00000000" w:rsidRDefault="00000000" w:rsidRPr="00000000" w14:paraId="000000CB">
      <w:pPr>
        <w:pStyle w:val="Heading2"/>
        <w:keepNext w:val="0"/>
        <w:keepLines w:val="0"/>
        <w:rPr/>
      </w:pPr>
      <w:bookmarkStart w:colFirst="0" w:colLast="0" w:name="_heading=h.519td313jtxx" w:id="44"/>
      <w:bookmarkEnd w:id="44"/>
      <w:r w:rsidDel="00000000" w:rsidR="00000000" w:rsidRPr="00000000">
        <w:rPr>
          <w:rtl w:val="0"/>
        </w:rPr>
        <w:t xml:space="preserve">Resumiendo dónde estamos</w:t>
      </w:r>
    </w:p>
    <w:p w:rsidR="00000000" w:rsidDel="00000000" w:rsidP="00000000" w:rsidRDefault="00000000" w:rsidRPr="00000000" w14:paraId="000000CC">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El análisis de FDI es acerca de los  ítems</w:t>
      </w:r>
    </w:p>
    <w:p w:rsidR="00000000" w:rsidDel="00000000" w:rsidP="00000000" w:rsidRDefault="00000000" w:rsidRPr="00000000" w14:paraId="000000CD">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Útil para el desarrollo de pruebas</w:t>
      </w:r>
    </w:p>
    <w:p w:rsidR="00000000" w:rsidDel="00000000" w:rsidP="00000000" w:rsidRDefault="00000000" w:rsidRPr="00000000" w14:paraId="000000CE">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El análisis de FDI no proporciona una manera directa de inferir si el FDI afecta las conclusiones sobre el impacto</w:t>
      </w:r>
    </w:p>
    <w:p w:rsidR="00000000" w:rsidDel="00000000" w:rsidP="00000000" w:rsidRDefault="00000000" w:rsidRPr="00000000" w14:paraId="000000CF">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 menudo lo que nos importa en la investigación!</w:t>
      </w:r>
    </w:p>
    <w:p w:rsidR="00000000" w:rsidDel="00000000" w:rsidP="00000000" w:rsidRDefault="00000000" w:rsidRPr="00000000" w14:paraId="000000D0">
      <w:pPr>
        <w:pStyle w:val="Heading2"/>
        <w:keepNext w:val="0"/>
        <w:keepLines w:val="0"/>
        <w:rPr/>
      </w:pPr>
      <w:bookmarkStart w:colFirst="0" w:colLast="0" w:name="_heading=h.8fgrck5mm1a" w:id="45"/>
      <w:bookmarkEnd w:id="45"/>
      <w:r w:rsidDel="00000000" w:rsidR="00000000" w:rsidRPr="00000000">
        <w:rPr>
          <w:rtl w:val="0"/>
        </w:rPr>
        <w:t xml:space="preserve">Uso de FDI robusto para abordar el impacto</w:t>
      </w:r>
    </w:p>
    <w:p w:rsidR="00000000" w:rsidDel="00000000" w:rsidP="00000000" w:rsidRDefault="00000000" w:rsidRPr="00000000" w14:paraId="000000D1">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Hasta ahora nos hemos centrado en usar una estimación robusta de los parámetros de escala (impacto) como una forma de probar el FDI en ítems individuales</w:t>
      </w:r>
    </w:p>
    <w:p w:rsidR="00000000" w:rsidDel="00000000" w:rsidP="00000000" w:rsidRDefault="00000000" w:rsidRPr="00000000" w14:paraId="000000D2">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También podemos comparar la estimación robusta con una estimación “ingenua” que surgiría si ignoramos el FDI</w:t>
      </w:r>
    </w:p>
    <w:p w:rsidR="00000000" w:rsidDel="00000000" w:rsidP="00000000" w:rsidRDefault="00000000" w:rsidRPr="00000000" w14:paraId="000000D3">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por ejemplo, la estimación de máxima verosimilitud (EMV) del impacto, basada en el mismo procedimiento de escalamiento</w:t>
      </w:r>
    </w:p>
    <w:p w:rsidR="00000000" w:rsidDel="00000000" w:rsidP="00000000" w:rsidRDefault="00000000" w:rsidRPr="00000000" w14:paraId="000000D4">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Si las dos estimaciones dan el “mismo” resultado, entonces el FDI no afecta las conclusiones sobre el impacto</w:t>
      </w:r>
    </w:p>
    <w:p w:rsidR="00000000" w:rsidDel="00000000" w:rsidP="00000000" w:rsidRDefault="00000000" w:rsidRPr="00000000" w14:paraId="000000D5">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es decir, si ignoramos el FDI, llegaríamos a la misma conclusión sobre cómo difieren los grupos</w:t>
      </w:r>
    </w:p>
    <w:p w:rsidR="00000000" w:rsidDel="00000000" w:rsidP="00000000" w:rsidRDefault="00000000" w:rsidRPr="00000000" w14:paraId="000000D6">
      <w:pPr>
        <w:pStyle w:val="Heading2"/>
        <w:keepNext w:val="0"/>
        <w:keepLines w:val="0"/>
        <w:rPr/>
      </w:pPr>
      <w:bookmarkStart w:colFirst="0" w:colLast="0" w:name="_heading=h.t9i550xjkq3b" w:id="46"/>
      <w:bookmarkEnd w:id="46"/>
      <w:r w:rsidDel="00000000" w:rsidR="00000000" w:rsidRPr="00000000">
        <w:rPr>
          <w:rtl w:val="0"/>
        </w:rPr>
        <w:t xml:space="preserve">Lógica de la prueba</w:t>
      </w:r>
    </w:p>
    <w:p w:rsidR="00000000" w:rsidDel="00000000" w:rsidP="00000000" w:rsidRDefault="00000000" w:rsidRPr="00000000" w14:paraId="000000D7">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La lógica de esta prueba es similar a la prueba de especificación de Hausman</w:t>
      </w:r>
    </w:p>
    <w:p w:rsidR="00000000" w:rsidDel="00000000" w:rsidP="00000000" w:rsidRDefault="00000000" w:rsidRPr="00000000" w14:paraId="000000D8">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Bajo la hipótesis nula, tanto la estimación robusta como la EMV son estimaciones consistentes (sin sesgo) del “verdadero” impacto</w:t>
      </w:r>
    </w:p>
    <w:p w:rsidR="00000000" w:rsidDel="00000000" w:rsidP="00000000" w:rsidRDefault="00000000" w:rsidRPr="00000000" w14:paraId="000000D9">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La EMV es más eficiente, pero esto no es muy importante para nosotros</w:t>
      </w:r>
    </w:p>
    <w:p w:rsidR="00000000" w:rsidDel="00000000" w:rsidP="00000000" w:rsidRDefault="00000000" w:rsidRPr="00000000" w14:paraId="000000DA">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Bajo la hipótesis alternativa, ambas pueden ser inconsistentes, pero la estimación robusta será menos sesgada</w:t>
      </w:r>
    </w:p>
    <w:p w:rsidR="00000000" w:rsidDel="00000000" w:rsidP="00000000" w:rsidRDefault="00000000" w:rsidRPr="00000000" w14:paraId="000000DB">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Asumiendo &lt; 50% de los ítems exhiben FDI</w:t>
      </w:r>
    </w:p>
    <w:p w:rsidR="00000000" w:rsidDel="00000000" w:rsidP="00000000" w:rsidRDefault="00000000" w:rsidRPr="00000000" w14:paraId="000000DC">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Consecuentemente, la diferencia entre las estimaciones se puede usar para probar el efecto del FDI en el impacto</w:t>
      </w:r>
    </w:p>
    <w:p w:rsidR="00000000" w:rsidDel="00000000" w:rsidP="00000000" w:rsidRDefault="00000000" w:rsidRPr="00000000" w14:paraId="000000DD">
      <w:pPr>
        <w:pStyle w:val="Heading2"/>
        <w:keepNext w:val="0"/>
        <w:keepLines w:val="0"/>
        <w:rPr/>
      </w:pPr>
      <w:bookmarkStart w:colFirst="0" w:colLast="0" w:name="_heading=h.d6o4k7kiwsui" w:id="47"/>
      <w:bookmarkEnd w:id="47"/>
      <w:r w:rsidDel="00000000" w:rsidR="00000000" w:rsidRPr="00000000">
        <w:rPr>
          <w:rtl w:val="0"/>
        </w:rPr>
        <w:t xml:space="preserve">Estudios de simulación</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drawing>
          <wp:inline distB="114300" distT="114300" distL="114300" distR="114300">
            <wp:extent cx="5943600" cy="3251200"/>
            <wp:effectExtent b="0" l="0" r="0" t="0"/>
            <wp:docPr id="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Style w:val="Heading2"/>
        <w:keepNext w:val="0"/>
        <w:keepLines w:val="0"/>
        <w:rPr/>
      </w:pPr>
      <w:bookmarkStart w:colFirst="0" w:colLast="0" w:name="_heading=h.2l9xjm2317ah" w:id="48"/>
      <w:bookmarkEnd w:id="48"/>
      <w:r w:rsidDel="00000000" w:rsidR="00000000" w:rsidRPr="00000000">
        <w:rPr>
          <w:rtl w:val="0"/>
        </w:rPr>
        <w:t xml:space="preserve">Estudios de simulación</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drawing>
          <wp:inline distB="114300" distT="114300" distL="114300" distR="114300">
            <wp:extent cx="5943600" cy="5892800"/>
            <wp:effectExtent b="0" l="0" r="0" t="0"/>
            <wp:docPr id="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943600" cy="58928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pStyle w:val="Heading2"/>
        <w:keepNext w:val="0"/>
        <w:keepLines w:val="0"/>
        <w:rPr/>
      </w:pPr>
      <w:bookmarkStart w:colFirst="0" w:colLast="0" w:name="_heading=h.pcjdouuahz0c" w:id="49"/>
      <w:bookmarkEnd w:id="49"/>
      <w:r w:rsidDel="00000000" w:rsidR="00000000" w:rsidRPr="00000000">
        <w:rPr>
          <w:rtl w:val="0"/>
        </w:rPr>
        <w:t xml:space="preserve">Relación con la IM</w:t>
      </w:r>
    </w:p>
    <w:p w:rsidR="00000000" w:rsidDel="00000000" w:rsidP="00000000" w:rsidRDefault="00000000" w:rsidRPr="00000000" w14:paraId="000000E4">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 IM, probamos si (un subconjunto de) los parámetros de los ítems son iguales entre grupos</w:t>
      </w:r>
    </w:p>
    <w:p w:rsidR="00000000" w:rsidDel="00000000" w:rsidP="00000000" w:rsidRDefault="00000000" w:rsidRPr="00000000" w14:paraId="000000E5">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Podemos rechazar la IM con poco efecto en el impacto</w:t>
      </w:r>
    </w:p>
    <w:p w:rsidR="00000000" w:rsidDel="00000000" w:rsidP="00000000" w:rsidRDefault="00000000" w:rsidRPr="00000000" w14:paraId="000000E6">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FDI en un solo ítem puede ser insignificante cuando se promedia el de muchos ítems</w:t>
      </w:r>
    </w:p>
    <w:p w:rsidR="00000000" w:rsidDel="00000000" w:rsidP="00000000" w:rsidRDefault="00000000" w:rsidRPr="00000000" w14:paraId="000000E7">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El FDI en direcciones opuestas puede cancelarse entre los ítems</w:t>
      </w:r>
    </w:p>
    <w:p w:rsidR="00000000" w:rsidDel="00000000" w:rsidP="00000000" w:rsidRDefault="00000000" w:rsidRPr="00000000" w14:paraId="000000E8">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 la prueba de Funcionamiento Diferencial de la Prueba (FDP)</w:t>
      </w:r>
    </w:p>
    <w:p w:rsidR="00000000" w:rsidDel="00000000" w:rsidP="00000000" w:rsidRDefault="00000000" w:rsidRPr="00000000" w14:paraId="000000E9">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No probamos ningún parámetro del ítem (aunque podríamos disminuir su peso)</w:t>
      </w:r>
    </w:p>
    <w:p w:rsidR="00000000" w:rsidDel="00000000" w:rsidP="00000000" w:rsidRDefault="00000000" w:rsidRPr="00000000" w14:paraId="000000EA">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Solo probamos si dos estimaciones de impacto son iguales</w:t>
      </w:r>
    </w:p>
    <w:p w:rsidR="00000000" w:rsidDel="00000000" w:rsidP="00000000" w:rsidRDefault="00000000" w:rsidRPr="00000000" w14:paraId="000000EB">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¡Tenga en cuenta que aún puede haber ítems con FDI incluso si el impacto no se ve afectado!</w:t>
      </w:r>
    </w:p>
    <w:p w:rsidR="00000000" w:rsidDel="00000000" w:rsidP="00000000" w:rsidRDefault="00000000" w:rsidRPr="00000000" w14:paraId="000000EC">
      <w:pPr>
        <w:pStyle w:val="Heading2"/>
        <w:keepNext w:val="0"/>
        <w:keepLines w:val="0"/>
        <w:rPr/>
      </w:pPr>
      <w:bookmarkStart w:colFirst="0" w:colLast="0" w:name="_heading=h.doo5jm662xxi" w:id="50"/>
      <w:bookmarkEnd w:id="50"/>
      <w:r w:rsidDel="00000000" w:rsidR="00000000" w:rsidRPr="00000000">
        <w:rPr>
          <w:rtl w:val="0"/>
        </w:rPr>
        <w:t xml:space="preserve">Implicaciones para la práctica</w:t>
      </w:r>
    </w:p>
    <w:p w:rsidR="00000000" w:rsidDel="00000000" w:rsidP="00000000" w:rsidRDefault="00000000" w:rsidRPr="00000000" w14:paraId="000000ED">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Si todo lo que queremos es comparar las puntuaciones de los grupos en las pruebas:</w:t>
      </w:r>
    </w:p>
    <w:p w:rsidR="00000000" w:rsidDel="00000000" w:rsidP="00000000" w:rsidRDefault="00000000" w:rsidRPr="00000000" w14:paraId="000000EE">
      <w:pPr>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Usando un enfoque robusto, podemos probar el FDP sin </w:t>
      </w:r>
      <w:r w:rsidDel="00000000" w:rsidR="00000000" w:rsidRPr="00000000">
        <w:rPr>
          <w:i w:val="1"/>
          <w:rtl w:val="0"/>
        </w:rPr>
        <w:t xml:space="preserve">antes</w:t>
      </w:r>
      <w:r w:rsidDel="00000000" w:rsidR="00000000" w:rsidRPr="00000000">
        <w:rPr>
          <w:rtl w:val="0"/>
        </w:rPr>
        <w:t xml:space="preserve"> tener que hacer un análisis de FDI ítem por ítem</w:t>
      </w:r>
    </w:p>
    <w:p w:rsidR="00000000" w:rsidDel="00000000" w:rsidP="00000000" w:rsidRDefault="00000000" w:rsidRPr="00000000" w14:paraId="000000EF">
      <w:pPr>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Si no hay FDP, podemos proceder con las comparaciones entre grupos sin hacer análisis de FDI</w:t>
      </w:r>
    </w:p>
    <w:p w:rsidR="00000000" w:rsidDel="00000000" w:rsidP="00000000" w:rsidRDefault="00000000" w:rsidRPr="00000000" w14:paraId="000000F0">
      <w:pPr>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Si hay FDP, podemos seguir con análisis ítem por ítem, revisiones de pruebas, etc., antes de hacer comparaciones</w:t>
      </w:r>
    </w:p>
    <w:p w:rsidR="00000000" w:rsidDel="00000000" w:rsidP="00000000" w:rsidRDefault="00000000" w:rsidRPr="00000000" w14:paraId="000000F1">
      <w:pPr>
        <w:pStyle w:val="Heading1"/>
        <w:keepNext w:val="0"/>
        <w:keepLines w:val="0"/>
        <w:rPr/>
      </w:pPr>
      <w:bookmarkStart w:colFirst="0" w:colLast="0" w:name="_heading=h.pjieu561pim9" w:id="51"/>
      <w:bookmarkEnd w:id="51"/>
      <w:r w:rsidDel="00000000" w:rsidR="00000000" w:rsidRPr="00000000">
        <w:rPr>
          <w:rtl w:val="0"/>
        </w:rPr>
        <w:t xml:space="preserve">Volver al ejemplo</w:t>
      </w:r>
    </w:p>
    <w:p w:rsidR="00000000" w:rsidDel="00000000" w:rsidP="00000000" w:rsidRDefault="00000000" w:rsidRPr="00000000" w14:paraId="000000F2">
      <w:pPr>
        <w:shd w:fill="f1f3f5" w:val="clear"/>
        <w:rPr>
          <w:rFonts w:ascii="Consolas" w:cs="Consolas" w:eastAsia="Consolas" w:hAnsi="Consolas"/>
          <w:color w:val="003b4f"/>
          <w:sz w:val="22"/>
          <w:szCs w:val="22"/>
        </w:rPr>
      </w:pPr>
      <w:r w:rsidDel="00000000" w:rsidR="00000000" w:rsidRPr="00000000">
        <w:rPr>
          <w:rFonts w:ascii="Consolas" w:cs="Consolas" w:eastAsia="Consolas" w:hAnsi="Consolas"/>
          <w:color w:val="4758ab"/>
          <w:sz w:val="22"/>
          <w:szCs w:val="22"/>
          <w:rtl w:val="0"/>
        </w:rPr>
        <w:t xml:space="preserve">delta_test</w:t>
      </w:r>
      <w:r w:rsidDel="00000000" w:rsidR="00000000" w:rsidRPr="00000000">
        <w:rPr>
          <w:rFonts w:ascii="Consolas" w:cs="Consolas" w:eastAsia="Consolas" w:hAnsi="Consolas"/>
          <w:color w:val="003b4f"/>
          <w:sz w:val="22"/>
          <w:szCs w:val="22"/>
          <w:rtl w:val="0"/>
        </w:rPr>
        <w:t xml:space="preserve">(mirt.parms)</w:t>
      </w:r>
    </w:p>
    <w:p w:rsidR="00000000" w:rsidDel="00000000" w:rsidP="00000000" w:rsidRDefault="00000000" w:rsidRPr="00000000" w14:paraId="000000F3">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Las estimaciones ingenuas y robustas de las diferencias de género promedio en depresión no difieren</w:t>
      </w:r>
    </w:p>
    <w:p w:rsidR="00000000" w:rsidDel="00000000" w:rsidP="00000000" w:rsidRDefault="00000000" w:rsidRPr="00000000" w14:paraId="000000F4">
      <w:pPr>
        <w:pStyle w:val="Heading1"/>
        <w:keepNext w:val="0"/>
        <w:keepLines w:val="0"/>
        <w:rPr/>
      </w:pPr>
      <w:bookmarkStart w:colFirst="0" w:colLast="0" w:name="_heading=h.22mcqeipj89p" w:id="52"/>
      <w:bookmarkEnd w:id="52"/>
      <w:r w:rsidDel="00000000" w:rsidR="00000000" w:rsidRPr="00000000">
        <w:rPr>
          <w:rtl w:val="0"/>
        </w:rPr>
        <w:t xml:space="preserve">Resumen</w:t>
      </w:r>
    </w:p>
    <w:p w:rsidR="00000000" w:rsidDel="00000000" w:rsidP="00000000" w:rsidRDefault="00000000" w:rsidRPr="00000000" w14:paraId="000000F5">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 el desarrollo de pruebas, casi siempre queremos saber sobre el FDI a nivel de ítem</w:t>
      </w:r>
    </w:p>
    <w:p w:rsidR="00000000" w:rsidDel="00000000" w:rsidP="00000000" w:rsidRDefault="00000000" w:rsidRPr="00000000" w14:paraId="000000F6">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 contextos de investigación, a veces solo nos importa si las comparaciones entre grupos están sesgadas o no</w:t>
      </w:r>
    </w:p>
    <w:p w:rsidR="00000000" w:rsidDel="00000000" w:rsidP="00000000" w:rsidRDefault="00000000" w:rsidRPr="00000000" w14:paraId="000000F7">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Usando un escalamiento robusto, podemos hacer inferencias sobre el FDP antes de realizar un análisis de FDI ítem por ítem</w:t>
      </w:r>
    </w:p>
    <w:p w:rsidR="00000000" w:rsidDel="00000000" w:rsidP="00000000" w:rsidRDefault="00000000" w:rsidRPr="00000000" w14:paraId="000000F8">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Truco: comparar dos estimaciones de impacto, ingenua y robusta</w:t>
      </w:r>
    </w:p>
    <w:p w:rsidR="00000000" w:rsidDel="00000000" w:rsidP="00000000" w:rsidRDefault="00000000" w:rsidRPr="00000000" w14:paraId="000000F9">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 diferencia de las pruebas de IM, no estamos probando si todos los ítems están libres de FDI</w:t>
      </w:r>
    </w:p>
    <w:p w:rsidR="00000000" w:rsidDel="00000000" w:rsidP="00000000" w:rsidRDefault="00000000" w:rsidRPr="00000000" w14:paraId="000000FA">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Solo estamos probando si el FDI afecta las conclusiones sobre el impacto</w:t>
      </w:r>
    </w:p>
    <w:p w:rsidR="00000000" w:rsidDel="00000000" w:rsidP="00000000" w:rsidRDefault="00000000" w:rsidRPr="00000000" w14:paraId="000000FB">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Si concluimos que no hay FDP, puede o no haber FDI</w:t>
      </w:r>
    </w:p>
    <w:p w:rsidR="00000000" w:rsidDel="00000000" w:rsidP="00000000" w:rsidRDefault="00000000" w:rsidRPr="00000000" w14:paraId="000000FC">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¡Si realmente queremos saber sobre los ítems individuales, necesitamos hacer el análisis de FDI!</w:t>
      </w:r>
    </w:p>
    <w:p w:rsidR="00000000" w:rsidDel="00000000" w:rsidP="00000000" w:rsidRDefault="00000000" w:rsidRPr="00000000" w14:paraId="000000FD">
      <w:pPr>
        <w:pStyle w:val="Heading1"/>
        <w:keepNext w:val="0"/>
        <w:keepLines w:val="0"/>
        <w:rPr/>
      </w:pPr>
      <w:bookmarkStart w:colFirst="0" w:colLast="0" w:name="_heading=h.urgabimuqfnk" w:id="53"/>
      <w:bookmarkEnd w:id="53"/>
      <w:r w:rsidDel="00000000" w:rsidR="00000000" w:rsidRPr="00000000">
        <w:rPr>
          <w:rtl w:val="0"/>
        </w:rPr>
        <w:t xml:space="preserve">Conclusión</w:t>
      </w:r>
    </w:p>
    <w:p w:rsidR="00000000" w:rsidDel="00000000" w:rsidP="00000000" w:rsidRDefault="00000000" w:rsidRPr="00000000" w14:paraId="000000FE">
      <w:pPr>
        <w:pStyle w:val="Heading2"/>
        <w:keepNext w:val="0"/>
        <w:keepLines w:val="0"/>
        <w:rPr/>
      </w:pPr>
      <w:bookmarkStart w:colFirst="0" w:colLast="0" w:name="_heading=h.j7zxjsk2khvl" w:id="54"/>
      <w:bookmarkEnd w:id="54"/>
      <w:r w:rsidDel="00000000" w:rsidR="00000000" w:rsidRPr="00000000">
        <w:rPr>
          <w:rtl w:val="0"/>
        </w:rPr>
        <w:t xml:space="preserve">Lo que hemos cubierto hoy</w:t>
      </w:r>
    </w:p>
    <w:p w:rsidR="00000000" w:rsidDel="00000000" w:rsidP="00000000" w:rsidRDefault="00000000" w:rsidRPr="00000000" w14:paraId="000000FF">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Escalado basado en la Teoría de Respuesta al Ítem y su relación con el FDI</w:t>
      </w:r>
    </w:p>
    <w:p w:rsidR="00000000" w:rsidDel="00000000" w:rsidP="00000000" w:rsidRDefault="00000000" w:rsidRPr="00000000" w14:paraId="00000100">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Más información sobre el escalado en el apéndice</w:t>
      </w:r>
    </w:p>
    <w:p w:rsidR="00000000" w:rsidDel="00000000" w:rsidP="00000000" w:rsidRDefault="00000000" w:rsidRPr="00000000" w14:paraId="00000101">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Escalamiento robusto</w:t>
      </w:r>
    </w:p>
    <w:p w:rsidR="00000000" w:rsidDel="00000000" w:rsidP="00000000" w:rsidRDefault="00000000" w:rsidRPr="00000000" w14:paraId="00000102">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Vea Halpin 2022 para detalles técnicos</w:t>
      </w:r>
    </w:p>
    <w:p w:rsidR="00000000" w:rsidDel="00000000" w:rsidP="00000000" w:rsidRDefault="00000000" w:rsidRPr="00000000" w14:paraId="00000103">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Pruebas de FDI basadas en escalamiento robusto</w:t>
      </w:r>
    </w:p>
    <w:p w:rsidR="00000000" w:rsidDel="00000000" w:rsidP="00000000" w:rsidRDefault="00000000" w:rsidRPr="00000000" w14:paraId="00000104">
      <w:pPr>
        <w:spacing w:after="40" w:before="40" w:lineRule="auto"/>
        <w:ind w:left="1920" w:hanging="480"/>
        <w:rPr>
          <w:rFonts w:ascii="Consolas" w:cs="Consolas" w:eastAsia="Consolas" w:hAnsi="Consolas"/>
          <w:sz w:val="22"/>
          <w:szCs w:val="22"/>
          <w:shd w:fill="f1f3f5" w:val="clear"/>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onsolas" w:cs="Consolas" w:eastAsia="Consolas" w:hAnsi="Consolas"/>
          <w:sz w:val="22"/>
          <w:szCs w:val="22"/>
          <w:shd w:fill="f1f3f5" w:val="clear"/>
          <w:rtl w:val="0"/>
        </w:rPr>
        <w:t xml:space="preserve">rdif_z_test</w:t>
      </w:r>
      <w:r w:rsidDel="00000000" w:rsidR="00000000" w:rsidRPr="00000000">
        <w:rPr>
          <w:rtl w:val="0"/>
        </w:rPr>
        <w:t xml:space="preserve"> y </w:t>
      </w:r>
      <w:r w:rsidDel="00000000" w:rsidR="00000000" w:rsidRPr="00000000">
        <w:rPr>
          <w:rFonts w:ascii="Consolas" w:cs="Consolas" w:eastAsia="Consolas" w:hAnsi="Consolas"/>
          <w:sz w:val="22"/>
          <w:szCs w:val="22"/>
          <w:shd w:fill="f1f3f5" w:val="clear"/>
          <w:rtl w:val="0"/>
        </w:rPr>
        <w:t xml:space="preserve">rdif_chisq_test</w:t>
      </w:r>
    </w:p>
    <w:p w:rsidR="00000000" w:rsidDel="00000000" w:rsidP="00000000" w:rsidRDefault="00000000" w:rsidRPr="00000000" w14:paraId="00000105">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Pruebas de FDP (impacto) basadas en escalamiento robusto</w:t>
      </w:r>
    </w:p>
    <w:p w:rsidR="00000000" w:rsidDel="00000000" w:rsidP="00000000" w:rsidRDefault="00000000" w:rsidRPr="00000000" w14:paraId="00000106">
      <w:pPr>
        <w:spacing w:after="40" w:before="40" w:lineRule="auto"/>
        <w:ind w:left="1920" w:hanging="480"/>
        <w:rPr>
          <w:rFonts w:ascii="Consolas" w:cs="Consolas" w:eastAsia="Consolas" w:hAnsi="Consolas"/>
          <w:sz w:val="22"/>
          <w:szCs w:val="22"/>
          <w:shd w:fill="f1f3f5" w:val="clear"/>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onsolas" w:cs="Consolas" w:eastAsia="Consolas" w:hAnsi="Consolas"/>
          <w:sz w:val="22"/>
          <w:szCs w:val="22"/>
          <w:shd w:fill="f1f3f5" w:val="clear"/>
          <w:rtl w:val="0"/>
        </w:rPr>
        <w:t xml:space="preserve">delta_test</w:t>
      </w:r>
    </w:p>
    <w:p w:rsidR="00000000" w:rsidDel="00000000" w:rsidP="00000000" w:rsidRDefault="00000000" w:rsidRPr="00000000" w14:paraId="00000107">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Ejemplo práctico</w:t>
      </w:r>
    </w:p>
    <w:p w:rsidR="00000000" w:rsidDel="00000000" w:rsidP="00000000" w:rsidRDefault="00000000" w:rsidRPr="00000000" w14:paraId="00000108">
      <w:pPr>
        <w:pStyle w:val="Heading2"/>
        <w:keepNext w:val="0"/>
        <w:keepLines w:val="0"/>
        <w:rPr/>
      </w:pPr>
      <w:bookmarkStart w:colFirst="0" w:colLast="0" w:name="_heading=h.p28zwls1qlyn" w:id="55"/>
      <w:bookmarkEnd w:id="55"/>
      <w:r w:rsidDel="00000000" w:rsidR="00000000" w:rsidRPr="00000000">
        <w:rPr>
          <w:rtl w:val="0"/>
        </w:rPr>
        <w:t xml:space="preserve">Advertencias y futuras direcciones</w:t>
      </w:r>
    </w:p>
    <w:p w:rsidR="00000000" w:rsidDel="00000000" w:rsidP="00000000" w:rsidRDefault="00000000" w:rsidRPr="00000000" w14:paraId="00000109">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onsolas" w:cs="Consolas" w:eastAsia="Consolas" w:hAnsi="Consolas"/>
          <w:sz w:val="22"/>
          <w:szCs w:val="22"/>
          <w:shd w:fill="f1f3f5" w:val="clear"/>
          <w:rtl w:val="0"/>
        </w:rPr>
        <w:t xml:space="preserve">robustDIF</w:t>
      </w:r>
      <w:r w:rsidDel="00000000" w:rsidR="00000000" w:rsidRPr="00000000">
        <w:rPr>
          <w:rtl w:val="0"/>
        </w:rPr>
        <w:t xml:space="preserve"> está en las primeras etapas de desarrollo</w:t>
      </w:r>
    </w:p>
    <w:p w:rsidR="00000000" w:rsidDel="00000000" w:rsidP="00000000" w:rsidRDefault="00000000" w:rsidRPr="00000000" w14:paraId="0000010A">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¡Acabamos de agregar soporte para datos categóricos la semana pasada!</w:t>
      </w:r>
    </w:p>
    <w:p w:rsidR="00000000" w:rsidDel="00000000" w:rsidP="00000000" w:rsidRDefault="00000000" w:rsidRPr="00000000" w14:paraId="0000010B">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Trabajando en múltiples grupos este invierno</w:t>
      </w:r>
    </w:p>
    <w:p w:rsidR="00000000" w:rsidDel="00000000" w:rsidP="00000000" w:rsidRDefault="00000000" w:rsidRPr="00000000" w14:paraId="0000010C">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¡Seguro que habrá muchos errores y problemas!</w:t>
      </w:r>
    </w:p>
    <w:p w:rsidR="00000000" w:rsidDel="00000000" w:rsidP="00000000" w:rsidRDefault="00000000" w:rsidRPr="00000000" w14:paraId="0000010D">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Por favor, no dude en </w:t>
      </w:r>
      <w:r w:rsidDel="00000000" w:rsidR="00000000" w:rsidRPr="00000000">
        <w:rPr>
          <w:rtl w:val="0"/>
        </w:rPr>
        <w:t xml:space="preserve">contactarme</w:t>
      </w:r>
      <w:r w:rsidDel="00000000" w:rsidR="00000000" w:rsidRPr="00000000">
        <w:rPr>
          <w:rtl w:val="0"/>
        </w:rPr>
        <w:t xml:space="preserve"> con preguntas sobre el software o ideas para nuevos desarrollos</w:t>
      </w:r>
    </w:p>
    <w:p w:rsidR="00000000" w:rsidDel="00000000" w:rsidP="00000000" w:rsidRDefault="00000000" w:rsidRPr="00000000" w14:paraId="0000010E">
      <w:pPr>
        <w:spacing w:after="40" w:before="40" w:lineRule="auto"/>
        <w:ind w:left="192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peter.halpin@unc.edu</w:t>
      </w:r>
    </w:p>
    <w:p w:rsidR="00000000" w:rsidDel="00000000" w:rsidP="00000000" w:rsidRDefault="00000000" w:rsidRPr="00000000" w14:paraId="0000010F">
      <w:pPr>
        <w:pStyle w:val="Heading2"/>
        <w:keepNext w:val="0"/>
        <w:keepLines w:val="0"/>
        <w:rPr/>
      </w:pPr>
      <w:bookmarkStart w:colFirst="0" w:colLast="0" w:name="_heading=h.14ek9pqjpidb" w:id="56"/>
      <w:bookmarkEnd w:id="56"/>
      <w:r w:rsidDel="00000000" w:rsidR="00000000" w:rsidRPr="00000000">
        <w:rPr>
          <w:rtl w:val="0"/>
        </w:rPr>
        <w:t xml:space="preserve">Referencias</w:t>
      </w:r>
    </w:p>
    <w:p w:rsidR="00000000" w:rsidDel="00000000" w:rsidP="00000000" w:rsidRDefault="00000000" w:rsidRPr="00000000" w14:paraId="00000110">
      <w:pPr>
        <w:spacing w:after="180" w:before="180" w:lineRule="auto"/>
        <w:rPr/>
      </w:pPr>
      <w:r w:rsidDel="00000000" w:rsidR="00000000" w:rsidRPr="00000000">
        <w:rPr>
          <w:rtl w:val="0"/>
        </w:rPr>
        <w:t xml:space="preserve">Bechger, T. M., &amp; Maris, G. (2015). A Statistical Test for Differential Item Pair Functioning. Psychometrika, 80, 317–340. https://doi.org/10.1007/s11336- 014- 9408- y</w:t>
      </w:r>
    </w:p>
    <w:p w:rsidR="00000000" w:rsidDel="00000000" w:rsidP="00000000" w:rsidRDefault="00000000" w:rsidRPr="00000000" w14:paraId="00000111">
      <w:pPr>
        <w:spacing w:after="180" w:before="180" w:lineRule="auto"/>
        <w:rPr/>
      </w:pPr>
      <w:r w:rsidDel="00000000" w:rsidR="00000000" w:rsidRPr="00000000">
        <w:rPr>
          <w:rtl w:val="0"/>
        </w:rPr>
        <w:t xml:space="preserve">Belzak, W. C. M., &amp; Bauer, D. J. (2020). Improving the assessment of measurement invariance: Using regularization to select anchor items and identify differential item functioning. Psychological Methods, 25(6), 673–690. https://doi.org/10.1037/met0000253 He, Y., &amp;</w:t>
      </w:r>
    </w:p>
    <w:p w:rsidR="00000000" w:rsidDel="00000000" w:rsidP="00000000" w:rsidRDefault="00000000" w:rsidRPr="00000000" w14:paraId="00000112">
      <w:pPr>
        <w:spacing w:after="180" w:before="180" w:lineRule="auto"/>
        <w:rPr/>
      </w:pPr>
      <w:r w:rsidDel="00000000" w:rsidR="00000000" w:rsidRPr="00000000">
        <w:rPr>
          <w:rtl w:val="0"/>
        </w:rPr>
        <w:t xml:space="preserve">He, Y., &amp; Cui, Z. (2020). Evaluating Robust Scale Transformation Methods With Multiple Outlying Common Items Under IRT True Score Equating. Applied Psychological Measurement, 44(4), 296–310. https://doi.org/10.1177/0146621619886050</w:t>
      </w:r>
    </w:p>
    <w:p w:rsidR="00000000" w:rsidDel="00000000" w:rsidP="00000000" w:rsidRDefault="00000000" w:rsidRPr="00000000" w14:paraId="00000113">
      <w:pPr>
        <w:spacing w:after="180" w:before="180" w:lineRule="auto"/>
        <w:rPr/>
      </w:pPr>
      <w:r w:rsidDel="00000000" w:rsidR="00000000" w:rsidRPr="00000000">
        <w:rPr>
          <w:rtl w:val="0"/>
        </w:rPr>
        <w:t xml:space="preserve">He, Y., Cui, Z., &amp; Osterlind, S. J. (2015). New Robust Scale Transformation Methods in the Presence of Outlying Common Items. Applied Psychological Measurement, 39(8), 613–626.https://doi.org/10.1177/0146621615587003</w:t>
      </w:r>
    </w:p>
    <w:p w:rsidR="00000000" w:rsidDel="00000000" w:rsidP="00000000" w:rsidRDefault="00000000" w:rsidRPr="00000000" w14:paraId="00000114">
      <w:pPr>
        <w:spacing w:after="180" w:before="180" w:lineRule="auto"/>
        <w:rPr/>
      </w:pPr>
      <w:r w:rsidDel="00000000" w:rsidR="00000000" w:rsidRPr="00000000">
        <w:rPr>
          <w:rtl w:val="0"/>
        </w:rPr>
        <w:t xml:space="preserve">Huber, P. J., &amp; Ronchetti, E. (2009). Robust statistics (2nd ed). Wiley.</w:t>
      </w:r>
    </w:p>
    <w:p w:rsidR="00000000" w:rsidDel="00000000" w:rsidP="00000000" w:rsidRDefault="00000000" w:rsidRPr="00000000" w14:paraId="00000115">
      <w:pPr>
        <w:spacing w:after="180" w:before="180" w:lineRule="auto"/>
        <w:rPr/>
      </w:pPr>
      <w:r w:rsidDel="00000000" w:rsidR="00000000" w:rsidRPr="00000000">
        <w:rPr>
          <w:rtl w:val="0"/>
        </w:rPr>
        <w:t xml:space="preserve">Magis, D., Tuerlinckx, F., &amp; De Boeck, P. (2015). Detection of Differential Item Functioning Using the Lasso Approach. Journal of Educational and Behavioral Statistics, 40(2), 111–135. https://doi.org/10.3102/1076998614559747</w:t>
      </w:r>
    </w:p>
    <w:p w:rsidR="00000000" w:rsidDel="00000000" w:rsidP="00000000" w:rsidRDefault="00000000" w:rsidRPr="00000000" w14:paraId="00000116">
      <w:pPr>
        <w:pStyle w:val="Heading2"/>
        <w:keepNext w:val="0"/>
        <w:keepLines w:val="0"/>
        <w:rPr/>
      </w:pPr>
      <w:bookmarkStart w:colFirst="0" w:colLast="0" w:name="_heading=h.9iew7s1z9jue" w:id="57"/>
      <w:bookmarkEnd w:id="57"/>
      <w:r w:rsidDel="00000000" w:rsidR="00000000" w:rsidRPr="00000000">
        <w:rPr>
          <w:rtl w:val="0"/>
        </w:rPr>
        <w:t xml:space="preserve">Referencias</w:t>
      </w:r>
    </w:p>
    <w:p w:rsidR="00000000" w:rsidDel="00000000" w:rsidP="00000000" w:rsidRDefault="00000000" w:rsidRPr="00000000" w14:paraId="00000117">
      <w:pPr>
        <w:spacing w:after="180" w:before="180" w:lineRule="auto"/>
        <w:rPr/>
      </w:pPr>
      <w:r w:rsidDel="00000000" w:rsidR="00000000" w:rsidRPr="00000000">
        <w:rPr>
          <w:rtl w:val="0"/>
        </w:rPr>
        <w:t xml:space="preserve">Schauberger, G., &amp; Mair, P. (2020). A regularization approach for the detection of differential item functioning in generalized partial credit models. Behavior Research Methods, 52(1), 279–294. https://doi.org/10.3758/s13428-019-01224-2</w:t>
      </w:r>
    </w:p>
    <w:p w:rsidR="00000000" w:rsidDel="00000000" w:rsidP="00000000" w:rsidRDefault="00000000" w:rsidRPr="00000000" w14:paraId="00000118">
      <w:pPr>
        <w:spacing w:after="180" w:before="180" w:lineRule="auto"/>
        <w:rPr/>
      </w:pPr>
      <w:r w:rsidDel="00000000" w:rsidR="00000000" w:rsidRPr="00000000">
        <w:rPr>
          <w:rtl w:val="0"/>
        </w:rPr>
        <w:t xml:space="preserve">Stocking, M. L., &amp; Lord, F. M. (1983). Developing a Common Metric in Item Response Theory. Applied Psychological Measurement, 7(2), 201–210. https://doi.org/10.1177/014662168300700208</w:t>
      </w:r>
    </w:p>
    <w:p w:rsidR="00000000" w:rsidDel="00000000" w:rsidP="00000000" w:rsidRDefault="00000000" w:rsidRPr="00000000" w14:paraId="00000119">
      <w:pPr>
        <w:spacing w:after="180" w:before="180" w:lineRule="auto"/>
        <w:rPr/>
      </w:pPr>
      <w:r w:rsidDel="00000000" w:rsidR="00000000" w:rsidRPr="00000000">
        <w:rPr>
          <w:rtl w:val="0"/>
        </w:rPr>
        <w:t xml:space="preserve">Teresi, J. A., Wang, C., Kleinman, M., Jones, R. N., &amp; Weiss, D. J. (2021). Differential Item Functioning Analyses of the Patient-Reported Outcomes Measurement Information System (PROMIS) Measures: Methods, Challenges, Advances, and Future Directions. Psychometrika, 86(3), 674–711. https://doi.org/10.1007/s11336-021-09775-0</w:t>
      </w:r>
    </w:p>
    <w:p w:rsidR="00000000" w:rsidDel="00000000" w:rsidP="00000000" w:rsidRDefault="00000000" w:rsidRPr="00000000" w14:paraId="0000011A">
      <w:pPr>
        <w:spacing w:after="180" w:before="180" w:lineRule="auto"/>
        <w:rPr/>
      </w:pPr>
      <w:r w:rsidDel="00000000" w:rsidR="00000000" w:rsidRPr="00000000">
        <w:rPr>
          <w:rtl w:val="0"/>
        </w:rPr>
        <w:t xml:space="preserve">Wang, W., Liu, Y., &amp; Liu, H. (2022). Testing Differential Item Functioning Without Predefined Anchor Items Using Robust Regression. Journal of Educational and Behavioral Statistics, 47(6), 666–692. https://doi.org/10.3102/10769986221109208</w:t>
      </w:r>
    </w:p>
    <w:p w:rsidR="00000000" w:rsidDel="00000000" w:rsidP="00000000" w:rsidRDefault="00000000" w:rsidRPr="00000000" w14:paraId="0000011B">
      <w:pPr>
        <w:spacing w:after="180" w:before="180" w:lineRule="auto"/>
        <w:rPr/>
      </w:pPr>
      <w:r w:rsidDel="00000000" w:rsidR="00000000" w:rsidRPr="00000000">
        <w:rPr>
          <w:rtl w:val="0"/>
        </w:rPr>
        <w:t xml:space="preserve">Yuan, K.-H., Liu, H., &amp; Han, Y. (2021). Differential Item Functioning Analysis Without A Priori Information on Anchor Items: QQ Plots and Graphical Test. Psychometrika, 86(2), 345–377. https://doi.org/10.1007/s11336-021-09746-5</w:t>
      </w:r>
    </w:p>
    <w:p w:rsidR="00000000" w:rsidDel="00000000" w:rsidP="00000000" w:rsidRDefault="00000000" w:rsidRPr="00000000" w14:paraId="0000011C">
      <w:pPr>
        <w:pStyle w:val="Heading1"/>
        <w:keepNext w:val="0"/>
        <w:keepLines w:val="0"/>
        <w:rPr/>
      </w:pPr>
      <w:bookmarkStart w:colFirst="0" w:colLast="0" w:name="_heading=h.yvjhlmdbu6dy" w:id="58"/>
      <w:bookmarkEnd w:id="58"/>
      <w:r w:rsidDel="00000000" w:rsidR="00000000" w:rsidRPr="00000000">
        <w:rPr>
          <w:rtl w:val="0"/>
        </w:rPr>
        <w:t xml:space="preserve">Apéndice</w:t>
      </w:r>
    </w:p>
    <w:p w:rsidR="00000000" w:rsidDel="00000000" w:rsidP="00000000" w:rsidRDefault="00000000" w:rsidRPr="00000000" w14:paraId="0000011D">
      <w:pPr>
        <w:pStyle w:val="Heading2"/>
        <w:keepNext w:val="0"/>
        <w:keepLines w:val="0"/>
        <w:rPr/>
      </w:pPr>
      <w:bookmarkStart w:colFirst="0" w:colLast="0" w:name="_heading=h.fu2j5ugkjjfq" w:id="59"/>
      <w:bookmarkEnd w:id="59"/>
      <w:r w:rsidDel="00000000" w:rsidR="00000000" w:rsidRPr="00000000">
        <w:rPr>
          <w:rtl w:val="0"/>
        </w:rPr>
        <w:t xml:space="preserve">Más sobre el escalado</w:t>
      </w:r>
    </w:p>
    <w:p w:rsidR="00000000" w:rsidDel="00000000" w:rsidP="00000000" w:rsidRDefault="00000000" w:rsidRPr="00000000" w14:paraId="0000011E">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Especificar el modelo IRT de 2PL en forma de "pendiente-intersección"</w:t>
      </w:r>
    </w:p>
    <w:p w:rsidR="00000000" w:rsidDel="00000000" w:rsidP="00000000" w:rsidRDefault="00000000" w:rsidRPr="00000000" w14:paraId="0000011F">
      <w:pPr>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Grupo 1</w:t>
      </w:r>
    </w:p>
    <w:p w:rsidR="00000000" w:rsidDel="00000000" w:rsidP="00000000" w:rsidRDefault="00000000" w:rsidRPr="00000000" w14:paraId="00000120">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Grupo 2</w:t>
      </w:r>
    </w:p>
    <w:p w:rsidR="00000000" w:rsidDel="00000000" w:rsidP="00000000" w:rsidRDefault="00000000" w:rsidRPr="00000000" w14:paraId="00000121">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El escalado implica </w:t>
      </w:r>
      <w:sdt>
        <w:sdtPr>
          <w:tag w:val="goog_rdk_0"/>
        </w:sdtPr>
        <w:sdtContent>
          <w:commentRangeStart w:id="0"/>
        </w:sdtContent>
      </w:sdt>
      <w:r w:rsidDel="00000000" w:rsidR="00000000" w:rsidRPr="00000000">
        <w:rPr>
          <w:rtl w:val="0"/>
        </w:rPr>
        <w:t xml:space="preserve">resolver para y</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22">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Sabemos que esta relación se mantiene para alguna elección de y porque los modelos IRT solo se identifican hasta una transformación lineal de.</w:t>
      </w:r>
    </w:p>
    <w:p w:rsidR="00000000" w:rsidDel="00000000" w:rsidP="00000000" w:rsidRDefault="00000000" w:rsidRPr="00000000" w14:paraId="00000123">
      <w:pPr>
        <w:pStyle w:val="Heading2"/>
        <w:keepNext w:val="0"/>
        <w:keepLines w:val="0"/>
        <w:rPr/>
      </w:pPr>
      <w:bookmarkStart w:colFirst="0" w:colLast="0" w:name="_heading=h.ijprl7fcv9i1" w:id="60"/>
      <w:bookmarkEnd w:id="60"/>
      <w:r w:rsidDel="00000000" w:rsidR="00000000" w:rsidRPr="00000000">
        <w:rPr>
          <w:rtl w:val="0"/>
        </w:rPr>
        <w:t xml:space="preserve">Más sobre el escalado</w:t>
      </w:r>
    </w:p>
    <w:p w:rsidR="00000000" w:rsidDel="00000000" w:rsidP="00000000" w:rsidRDefault="00000000" w:rsidRPr="00000000" w14:paraId="00000124">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Sustituyendo en las ecuaciones de escalado y haciendo el álgebra da lugar a::</w:t>
      </w:r>
    </w:p>
    <w:p w:rsidR="00000000" w:rsidDel="00000000" w:rsidP="00000000" w:rsidRDefault="00000000" w:rsidRPr="00000000" w14:paraId="00000125">
      <w:pPr>
        <w:spacing w:after="40" w:before="40" w:lineRule="auto"/>
        <w:ind w:left="1920" w:hanging="48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126">
      <w:pPr>
        <w:spacing w:after="40" w:before="40" w:lineRule="auto"/>
        <w:ind w:left="1920" w:hanging="48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127">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Tomar la media sobre los ítems da el escalado “ingenuo” usual (en forma de pendiente-intersección)</w:t>
      </w:r>
    </w:p>
    <w:p w:rsidR="00000000" w:rsidDel="00000000" w:rsidP="00000000" w:rsidRDefault="00000000" w:rsidRPr="00000000" w14:paraId="00000128">
      <w:pPr>
        <w:spacing w:after="40" w:before="40" w:lineRule="auto"/>
        <w:ind w:left="1920" w:hanging="48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129">
      <w:pPr>
        <w:spacing w:after="40" w:before="40" w:lineRule="auto"/>
        <w:ind w:left="1920" w:hanging="48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12A">
      <w:pPr>
        <w:spacing w:after="40" w:before="40" w:lineRule="auto"/>
        <w:ind w:left="1200" w:hanging="48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En el diseño CINEG, dejamos que los parámetros de ítem en el grupo de referencia sustituyan a los parámetros de ítem “no escalados”</w:t>
      </w:r>
    </w:p>
    <w:p w:rsidR="00000000" w:rsidDel="00000000" w:rsidP="00000000" w:rsidRDefault="00000000" w:rsidRPr="00000000" w14:paraId="0000012B">
      <w:pPr>
        <w:spacing w:after="40" w:before="40" w:lineRule="auto"/>
        <w:ind w:left="1920" w:hanging="48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12C">
      <w:pPr>
        <w:spacing w:after="40" w:before="40" w:lineRule="auto"/>
        <w:ind w:left="1920" w:hanging="480"/>
        <w:rPr>
          <w:rFonts w:ascii="Times New Roman" w:cs="Times New Roman" w:eastAsia="Times New Roman" w:hAnsi="Times New Roman"/>
          <w:sz w:val="14"/>
          <w:szCs w:val="14"/>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p>
    <w:p w:rsidR="00000000" w:rsidDel="00000000" w:rsidP="00000000" w:rsidRDefault="00000000" w:rsidRPr="00000000" w14:paraId="0000012D">
      <w:pPr>
        <w:pStyle w:val="Heading2"/>
        <w:keepNext w:val="0"/>
        <w:keepLines w:val="0"/>
        <w:rPr/>
      </w:pPr>
      <w:bookmarkStart w:colFirst="0" w:colLast="0" w:name="_heading=h.h6x9tnzactd9" w:id="61"/>
      <w:bookmarkEnd w:id="61"/>
      <w:r w:rsidDel="00000000" w:rsidR="00000000" w:rsidRPr="00000000">
        <w:rPr>
          <w:rtl w:val="0"/>
        </w:rPr>
        <w:t xml:space="preserve">Ejemplo con lavaan</w:t>
      </w:r>
      <w:r w:rsidDel="00000000" w:rsidR="00000000" w:rsidRPr="00000000">
        <w:rPr>
          <w:rtl w:val="0"/>
        </w:rPr>
      </w:r>
    </w:p>
    <w:p w:rsidR="00000000" w:rsidDel="00000000" w:rsidP="00000000" w:rsidRDefault="00000000" w:rsidRPr="00000000" w14:paraId="0000012E">
      <w:pPr>
        <w:shd w:fill="f1f3f5" w:val="clear"/>
        <w:rPr>
          <w:rFonts w:ascii="Consolas" w:cs="Consolas" w:eastAsia="Consolas" w:hAnsi="Consolas"/>
          <w:color w:val="003b4f"/>
          <w:sz w:val="22"/>
          <w:szCs w:val="22"/>
        </w:rPr>
      </w:pPr>
      <w:r w:rsidDel="00000000" w:rsidR="00000000" w:rsidRPr="00000000">
        <w:rPr>
          <w:rFonts w:ascii="Consolas" w:cs="Consolas" w:eastAsia="Consolas" w:hAnsi="Consolas"/>
          <w:color w:val="4758ab"/>
          <w:sz w:val="22"/>
          <w:szCs w:val="22"/>
          <w:rtl w:val="0"/>
        </w:rPr>
        <w:t xml:space="preserve">library</w:t>
      </w:r>
      <w:r w:rsidDel="00000000" w:rsidR="00000000" w:rsidRPr="00000000">
        <w:rPr>
          <w:rFonts w:ascii="Consolas" w:cs="Consolas" w:eastAsia="Consolas" w:hAnsi="Consolas"/>
          <w:color w:val="003b4f"/>
          <w:sz w:val="22"/>
          <w:szCs w:val="22"/>
          <w:rtl w:val="0"/>
        </w:rPr>
        <w:t xml:space="preserve">(lavaan)</w:t>
        <w:br w:type="textWrapping"/>
        <w:br w:type="textWrapping"/>
      </w:r>
      <w:r w:rsidDel="00000000" w:rsidR="00000000" w:rsidRPr="00000000">
        <w:rPr>
          <w:rFonts w:ascii="Consolas" w:cs="Consolas" w:eastAsia="Consolas" w:hAnsi="Consolas"/>
          <w:color w:val="5e5e5e"/>
          <w:sz w:val="22"/>
          <w:szCs w:val="22"/>
          <w:rtl w:val="0"/>
        </w:rPr>
        <w:t xml:space="preserve"># Model (same as above)</w:t>
        <w:br w:type="textWrapping"/>
      </w:r>
      <w:r w:rsidDel="00000000" w:rsidR="00000000" w:rsidRPr="00000000">
        <w:rPr>
          <w:rFonts w:ascii="Consolas" w:cs="Consolas" w:eastAsia="Consolas" w:hAnsi="Consolas"/>
          <w:color w:val="003b4f"/>
          <w:sz w:val="22"/>
          <w:szCs w:val="22"/>
          <w:rtl w:val="0"/>
        </w:rPr>
        <w:t xml:space="preserve">mod1 &lt;- </w:t>
      </w:r>
      <w:r w:rsidDel="00000000" w:rsidR="00000000" w:rsidRPr="00000000">
        <w:rPr>
          <w:rFonts w:ascii="Consolas" w:cs="Consolas" w:eastAsia="Consolas" w:hAnsi="Consolas"/>
          <w:color w:val="20794d"/>
          <w:sz w:val="22"/>
          <w:szCs w:val="22"/>
          <w:rtl w:val="0"/>
        </w:rPr>
        <w:t xml:space="preserve">' depression =~ cint1 + cint2 + cint4 + cint11 +</w:t>
        <w:br w:type="textWrapping"/>
        <w:t xml:space="preserve">                    </w:t>
        <w:tab/>
        <w:t xml:space="preserve">cint27 + cint28 + cint29 + cint30'</w:t>
        <w:br w:type="textWrapping"/>
      </w:r>
      <w:r w:rsidDel="00000000" w:rsidR="00000000" w:rsidRPr="00000000">
        <w:rPr>
          <w:rFonts w:ascii="Consolas" w:cs="Consolas" w:eastAsia="Consolas" w:hAnsi="Consolas"/>
          <w:color w:val="5e5e5e"/>
          <w:sz w:val="22"/>
          <w:szCs w:val="22"/>
          <w:rtl w:val="0"/>
        </w:rPr>
        <w:t xml:space="preserve"># Fit model</w:t>
        <w:br w:type="textWrapping"/>
      </w:r>
      <w:r w:rsidDel="00000000" w:rsidR="00000000" w:rsidRPr="00000000">
        <w:rPr>
          <w:rFonts w:ascii="Consolas" w:cs="Consolas" w:eastAsia="Consolas" w:hAnsi="Consolas"/>
          <w:color w:val="003b4f"/>
          <w:sz w:val="22"/>
          <w:szCs w:val="22"/>
          <w:rtl w:val="0"/>
        </w:rPr>
        <w:t xml:space="preserve">fit.config &lt;- </w:t>
      </w:r>
      <w:r w:rsidDel="00000000" w:rsidR="00000000" w:rsidRPr="00000000">
        <w:rPr>
          <w:rFonts w:ascii="Consolas" w:cs="Consolas" w:eastAsia="Consolas" w:hAnsi="Consolas"/>
          <w:color w:val="4758ab"/>
          <w:sz w:val="22"/>
          <w:szCs w:val="22"/>
          <w:rtl w:val="0"/>
        </w:rPr>
        <w:t xml:space="preserve">cfa</w:t>
      </w:r>
      <w:r w:rsidDel="00000000" w:rsidR="00000000" w:rsidRPr="00000000">
        <w:rPr>
          <w:rFonts w:ascii="Consolas" w:cs="Consolas" w:eastAsia="Consolas" w:hAnsi="Consolas"/>
          <w:color w:val="003b4f"/>
          <w:sz w:val="22"/>
          <w:szCs w:val="22"/>
          <w:rtl w:val="0"/>
        </w:rPr>
        <w:t xml:space="preserve">(mod1,</w:t>
        <w:br w:type="textWrapping"/>
        <w:t xml:space="preserve">              </w:t>
        <w:tab/>
      </w:r>
      <w:r w:rsidDel="00000000" w:rsidR="00000000" w:rsidRPr="00000000">
        <w:rPr>
          <w:rFonts w:ascii="Consolas" w:cs="Consolas" w:eastAsia="Consolas" w:hAnsi="Consolas"/>
          <w:color w:val="657422"/>
          <w:sz w:val="22"/>
          <w:szCs w:val="22"/>
          <w:rtl w:val="0"/>
        </w:rPr>
        <w:t xml:space="preserve">data =</w:t>
      </w:r>
      <w:r w:rsidDel="00000000" w:rsidR="00000000" w:rsidRPr="00000000">
        <w:rPr>
          <w:rFonts w:ascii="Consolas" w:cs="Consolas" w:eastAsia="Consolas" w:hAnsi="Consolas"/>
          <w:color w:val="003b4f"/>
          <w:sz w:val="22"/>
          <w:szCs w:val="22"/>
          <w:rtl w:val="0"/>
        </w:rPr>
        <w:t xml:space="preserve"> cint,</w:t>
        <w:br w:type="textWrapping"/>
        <w:t xml:space="preserve">              </w:t>
        <w:tab/>
      </w:r>
      <w:r w:rsidDel="00000000" w:rsidR="00000000" w:rsidRPr="00000000">
        <w:rPr>
          <w:rFonts w:ascii="Consolas" w:cs="Consolas" w:eastAsia="Consolas" w:hAnsi="Consolas"/>
          <w:color w:val="657422"/>
          <w:sz w:val="22"/>
          <w:szCs w:val="22"/>
          <w:rtl w:val="0"/>
        </w:rPr>
        <w:t xml:space="preserve">std.lv =</w:t>
      </w:r>
      <w:r w:rsidDel="00000000" w:rsidR="00000000" w:rsidRPr="00000000">
        <w:rPr>
          <w:rFonts w:ascii="Consolas" w:cs="Consolas" w:eastAsia="Consolas" w:hAnsi="Consolas"/>
          <w:color w:val="003b4f"/>
          <w:sz w:val="22"/>
          <w:szCs w:val="22"/>
          <w:rtl w:val="0"/>
        </w:rPr>
        <w:t xml:space="preserve"> T, </w:t>
        <w:br w:type="textWrapping"/>
        <w:t xml:space="preserve">              </w:t>
        <w:tab/>
      </w:r>
      <w:r w:rsidDel="00000000" w:rsidR="00000000" w:rsidRPr="00000000">
        <w:rPr>
          <w:rFonts w:ascii="Consolas" w:cs="Consolas" w:eastAsia="Consolas" w:hAnsi="Consolas"/>
          <w:color w:val="657422"/>
          <w:sz w:val="22"/>
          <w:szCs w:val="22"/>
          <w:rtl w:val="0"/>
        </w:rPr>
        <w:t xml:space="preserve">ordered =</w:t>
      </w:r>
      <w:r w:rsidDel="00000000" w:rsidR="00000000" w:rsidRPr="00000000">
        <w:rPr>
          <w:rFonts w:ascii="Consolas" w:cs="Consolas" w:eastAsia="Consolas" w:hAnsi="Consolas"/>
          <w:color w:val="003b4f"/>
          <w:sz w:val="22"/>
          <w:szCs w:val="22"/>
          <w:rtl w:val="0"/>
        </w:rPr>
        <w:t xml:space="preserve"> T,</w:t>
        <w:br w:type="textWrapping"/>
        <w:t xml:space="preserve">              </w:t>
        <w:tab/>
      </w:r>
      <w:r w:rsidDel="00000000" w:rsidR="00000000" w:rsidRPr="00000000">
        <w:rPr>
          <w:rFonts w:ascii="Consolas" w:cs="Consolas" w:eastAsia="Consolas" w:hAnsi="Consolas"/>
          <w:color w:val="657422"/>
          <w:sz w:val="22"/>
          <w:szCs w:val="22"/>
          <w:rtl w:val="0"/>
        </w:rPr>
        <w:t xml:space="preserve">group =</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"cfemale"</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5e5e5e"/>
          <w:sz w:val="22"/>
          <w:szCs w:val="22"/>
          <w:rtl w:val="0"/>
        </w:rPr>
        <w:t xml:space="preserve"># &lt;--- new</w:t>
        <w:br w:type="textWrapping"/>
      </w:r>
      <w:r w:rsidDel="00000000" w:rsidR="00000000" w:rsidRPr="00000000">
        <w:rPr>
          <w:rFonts w:ascii="Consolas" w:cs="Consolas" w:eastAsia="Consolas" w:hAnsi="Consolas"/>
          <w:color w:val="003b4f"/>
          <w:sz w:val="22"/>
          <w:szCs w:val="22"/>
          <w:rtl w:val="0"/>
        </w:rPr>
        <w:t xml:space="preserve">                 </w:t>
        <w:br w:type="textWrapping"/>
      </w:r>
      <w:r w:rsidDel="00000000" w:rsidR="00000000" w:rsidRPr="00000000">
        <w:rPr>
          <w:rFonts w:ascii="Consolas" w:cs="Consolas" w:eastAsia="Consolas" w:hAnsi="Consolas"/>
          <w:color w:val="5e5e5e"/>
          <w:sz w:val="22"/>
          <w:szCs w:val="22"/>
          <w:rtl w:val="0"/>
        </w:rPr>
        <w:t xml:space="preserve"># extract parms</w:t>
        <w:br w:type="textWrapping"/>
      </w:r>
      <w:r w:rsidDel="00000000" w:rsidR="00000000" w:rsidRPr="00000000">
        <w:rPr>
          <w:rFonts w:ascii="Consolas" w:cs="Consolas" w:eastAsia="Consolas" w:hAnsi="Consolas"/>
          <w:color w:val="003b4f"/>
          <w:sz w:val="22"/>
          <w:szCs w:val="22"/>
          <w:rtl w:val="0"/>
        </w:rPr>
        <w:t xml:space="preserve">lavaan.parms &lt;- </w:t>
      </w:r>
      <w:r w:rsidDel="00000000" w:rsidR="00000000" w:rsidRPr="00000000">
        <w:rPr>
          <w:rFonts w:ascii="Consolas" w:cs="Consolas" w:eastAsia="Consolas" w:hAnsi="Consolas"/>
          <w:color w:val="4758ab"/>
          <w:sz w:val="22"/>
          <w:szCs w:val="22"/>
          <w:rtl w:val="0"/>
        </w:rPr>
        <w:t xml:space="preserve">get_model_parms</w:t>
      </w:r>
      <w:r w:rsidDel="00000000" w:rsidR="00000000" w:rsidRPr="00000000">
        <w:rPr>
          <w:rFonts w:ascii="Consolas" w:cs="Consolas" w:eastAsia="Consolas" w:hAnsi="Consolas"/>
          <w:color w:val="003b4f"/>
          <w:sz w:val="22"/>
          <w:szCs w:val="22"/>
          <w:rtl w:val="0"/>
        </w:rPr>
        <w:t xml:space="preserve">(fit.config)</w:t>
        <w:br w:type="textWrapping"/>
        <w:br w:type="textWrapping"/>
      </w:r>
      <w:r w:rsidDel="00000000" w:rsidR="00000000" w:rsidRPr="00000000">
        <w:rPr>
          <w:rFonts w:ascii="Consolas" w:cs="Consolas" w:eastAsia="Consolas" w:hAnsi="Consolas"/>
          <w:color w:val="5e5e5e"/>
          <w:sz w:val="22"/>
          <w:szCs w:val="22"/>
          <w:rtl w:val="0"/>
        </w:rPr>
        <w:t xml:space="preserve"># RDIF procedures (not groups are reversed)</w:t>
        <w:br w:type="textWrapping"/>
      </w:r>
      <w:r w:rsidDel="00000000" w:rsidR="00000000" w:rsidRPr="00000000">
        <w:rPr>
          <w:rFonts w:ascii="Consolas" w:cs="Consolas" w:eastAsia="Consolas" w:hAnsi="Consolas"/>
          <w:color w:val="4758ab"/>
          <w:sz w:val="22"/>
          <w:szCs w:val="22"/>
          <w:rtl w:val="0"/>
        </w:rPr>
        <w:t xml:space="preserve">delta_test</w:t>
      </w:r>
      <w:r w:rsidDel="00000000" w:rsidR="00000000" w:rsidRPr="00000000">
        <w:rPr>
          <w:rFonts w:ascii="Consolas" w:cs="Consolas" w:eastAsia="Consolas" w:hAnsi="Consolas"/>
          <w:color w:val="003b4f"/>
          <w:sz w:val="22"/>
          <w:szCs w:val="22"/>
          <w:rtl w:val="0"/>
        </w:rPr>
        <w:t xml:space="preserve">(lavaan.parms)</w:t>
        <w:br w:type="textWrapping"/>
      </w:r>
      <w:r w:rsidDel="00000000" w:rsidR="00000000" w:rsidRPr="00000000">
        <w:rPr>
          <w:rFonts w:ascii="Consolas" w:cs="Consolas" w:eastAsia="Consolas" w:hAnsi="Consolas"/>
          <w:color w:val="4758ab"/>
          <w:sz w:val="22"/>
          <w:szCs w:val="22"/>
          <w:rtl w:val="0"/>
        </w:rPr>
        <w:t xml:space="preserve">rdif_z_test</w:t>
      </w:r>
      <w:r w:rsidDel="00000000" w:rsidR="00000000" w:rsidRPr="00000000">
        <w:rPr>
          <w:rFonts w:ascii="Consolas" w:cs="Consolas" w:eastAsia="Consolas" w:hAnsi="Consolas"/>
          <w:color w:val="003b4f"/>
          <w:sz w:val="22"/>
          <w:szCs w:val="22"/>
          <w:rtl w:val="0"/>
        </w:rPr>
        <w:t xml:space="preserve">(lavaan.parms, </w:t>
      </w:r>
      <w:r w:rsidDel="00000000" w:rsidR="00000000" w:rsidRPr="00000000">
        <w:rPr>
          <w:rFonts w:ascii="Consolas" w:cs="Consolas" w:eastAsia="Consolas" w:hAnsi="Consolas"/>
          <w:color w:val="657422"/>
          <w:sz w:val="22"/>
          <w:szCs w:val="22"/>
          <w:rtl w:val="0"/>
        </w:rPr>
        <w:t xml:space="preserve">par =</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"intercept"</w:t>
      </w:r>
      <w:r w:rsidDel="00000000" w:rsidR="00000000" w:rsidRPr="00000000">
        <w:rPr>
          <w:rFonts w:ascii="Consolas" w:cs="Consolas" w:eastAsia="Consolas" w:hAnsi="Consolas"/>
          <w:color w:val="003b4f"/>
          <w:sz w:val="22"/>
          <w:szCs w:val="22"/>
          <w:rtl w:val="0"/>
        </w:rPr>
        <w:t xml:space="preserve">)</w:t>
        <w:br w:type="textWrapping"/>
      </w:r>
      <w:r w:rsidDel="00000000" w:rsidR="00000000" w:rsidRPr="00000000">
        <w:rPr>
          <w:rFonts w:ascii="Consolas" w:cs="Consolas" w:eastAsia="Consolas" w:hAnsi="Consolas"/>
          <w:color w:val="4758ab"/>
          <w:sz w:val="22"/>
          <w:szCs w:val="22"/>
          <w:rtl w:val="0"/>
        </w:rPr>
        <w:t xml:space="preserve">rdif_z_test</w:t>
      </w:r>
      <w:r w:rsidDel="00000000" w:rsidR="00000000" w:rsidRPr="00000000">
        <w:rPr>
          <w:rFonts w:ascii="Consolas" w:cs="Consolas" w:eastAsia="Consolas" w:hAnsi="Consolas"/>
          <w:color w:val="003b4f"/>
          <w:sz w:val="22"/>
          <w:szCs w:val="22"/>
          <w:rtl w:val="0"/>
        </w:rPr>
        <w:t xml:space="preserve">(lavaan.parms, </w:t>
      </w:r>
      <w:r w:rsidDel="00000000" w:rsidR="00000000" w:rsidRPr="00000000">
        <w:rPr>
          <w:rFonts w:ascii="Consolas" w:cs="Consolas" w:eastAsia="Consolas" w:hAnsi="Consolas"/>
          <w:color w:val="657422"/>
          <w:sz w:val="22"/>
          <w:szCs w:val="22"/>
          <w:rtl w:val="0"/>
        </w:rPr>
        <w:t xml:space="preserve">par =</w:t>
      </w:r>
      <w:r w:rsidDel="00000000" w:rsidR="00000000" w:rsidRPr="00000000">
        <w:rPr>
          <w:rFonts w:ascii="Consolas" w:cs="Consolas" w:eastAsia="Consolas" w:hAnsi="Consolas"/>
          <w:color w:val="003b4f"/>
          <w:sz w:val="22"/>
          <w:szCs w:val="22"/>
          <w:rtl w:val="0"/>
        </w:rPr>
        <w:t xml:space="preserve"> </w:t>
      </w:r>
      <w:r w:rsidDel="00000000" w:rsidR="00000000" w:rsidRPr="00000000">
        <w:rPr>
          <w:rFonts w:ascii="Consolas" w:cs="Consolas" w:eastAsia="Consolas" w:hAnsi="Consolas"/>
          <w:color w:val="20794d"/>
          <w:sz w:val="22"/>
          <w:szCs w:val="22"/>
          <w:rtl w:val="0"/>
        </w:rPr>
        <w:t xml:space="preserve">"slope"</w:t>
      </w:r>
      <w:r w:rsidDel="00000000" w:rsidR="00000000" w:rsidRPr="00000000">
        <w:rPr>
          <w:rFonts w:ascii="Consolas" w:cs="Consolas" w:eastAsia="Consolas" w:hAnsi="Consolas"/>
          <w:color w:val="003b4f"/>
          <w:sz w:val="22"/>
          <w:szCs w:val="22"/>
          <w:rtl w:val="0"/>
        </w:rPr>
        <w:t xml:space="preserve">)</w:t>
        <w:br w:type="textWrapping"/>
      </w:r>
      <w:r w:rsidDel="00000000" w:rsidR="00000000" w:rsidRPr="00000000">
        <w:rPr>
          <w:rFonts w:ascii="Consolas" w:cs="Consolas" w:eastAsia="Consolas" w:hAnsi="Consolas"/>
          <w:color w:val="4758ab"/>
          <w:sz w:val="22"/>
          <w:szCs w:val="22"/>
          <w:rtl w:val="0"/>
        </w:rPr>
        <w:t xml:space="preserve">rdif_chisq_test</w:t>
      </w:r>
      <w:r w:rsidDel="00000000" w:rsidR="00000000" w:rsidRPr="00000000">
        <w:rPr>
          <w:rFonts w:ascii="Consolas" w:cs="Consolas" w:eastAsia="Consolas" w:hAnsi="Consolas"/>
          <w:color w:val="003b4f"/>
          <w:sz w:val="22"/>
          <w:szCs w:val="22"/>
          <w:rtl w:val="0"/>
        </w:rPr>
        <w:t xml:space="preserve">(lavaan.parms)</w:t>
      </w:r>
    </w:p>
    <w:p w:rsidR="00000000" w:rsidDel="00000000" w:rsidP="00000000" w:rsidRDefault="00000000" w:rsidRPr="00000000" w14:paraId="0000012F">
      <w:pPr>
        <w:spacing w:after="180" w:before="18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sectPr>
      <w:footerReference r:id="rId24"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ergio Ozoria" w:id="0" w:date="2023-12-04T18:46:57Z">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Incomplete sentence?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3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Times New Roman"/>
  <w:font w:name="Consolas"/>
  <w:font w:name="Arial"/>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4">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5">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6">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7">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8">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9">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0">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1">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2">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3">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4">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5">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6">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7">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8">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9">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0">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1">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2">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3">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4">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5">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6">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7">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8">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9">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0">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1">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2">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3">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4">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5">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6">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7">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8">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39">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40">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41">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42">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43">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44">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45">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4f81bd"/>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8"/>
      <w:szCs w:val="28"/>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4f81bd"/>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 w:type="table" w:styleId="Table1">
    <w:basedOn w:val="TableNormal"/>
    <w:tblPr>
      <w:tblStyleRowBandSize w:val="1"/>
      <w:tblStyleColBandSize w:val="1"/>
      <w:tblCellMar>
        <w:top w:w="0.0" w:type="dxa"/>
        <w:left w:w="108.0" w:type="dxa"/>
        <w:bottom w:w="0.0" w:type="dxa"/>
        <w:right w:w="108.0" w:type="dxa"/>
      </w:tblCellMar>
    </w:tblPr>
    <w:tblStylePr w:type="firstRow">
      <w:tcPr>
        <w:tcBorders>
          <w:bottom w:color="000000" w:space="0" w:sz="0" w:val="nil"/>
        </w:tcBorders>
        <w:vAlign w:val="bottom"/>
      </w:tcPr>
    </w:tblStylePr>
  </w:style>
  <w:style w:type="table" w:styleId="Table2">
    <w:basedOn w:val="TableNormal"/>
    <w:tblPr>
      <w:tblStyleRowBandSize w:val="1"/>
      <w:tblStyleColBandSize w:val="1"/>
      <w:tblCellMar>
        <w:top w:w="0.0" w:type="dxa"/>
        <w:left w:w="108.0" w:type="dxa"/>
        <w:bottom w:w="0.0" w:type="dxa"/>
        <w:right w:w="108.0" w:type="dxa"/>
      </w:tblCellMar>
    </w:tblPr>
    <w:tblStylePr w:type="firstRow">
      <w:tcPr>
        <w:tcBorders>
          <w:bottom w:color="000000" w:space="0" w:sz="0" w:val="nil"/>
        </w:tcBorders>
        <w:vAlign w:val="bottom"/>
      </w:tcPr>
    </w:tblStylePr>
  </w:style>
  <w:style w:type="table" w:styleId="Table3">
    <w:basedOn w:val="TableNormal"/>
    <w:tblPr>
      <w:tblStyleRowBandSize w:val="1"/>
      <w:tblStyleColBandSize w:val="1"/>
      <w:tblCellMar>
        <w:top w:w="0.0" w:type="dxa"/>
        <w:left w:w="108.0" w:type="dxa"/>
        <w:bottom w:w="0.0" w:type="dxa"/>
        <w:right w:w="108.0" w:type="dxa"/>
      </w:tblCellMar>
    </w:tblPr>
    <w:tblStylePr w:type="firstRow">
      <w:tcPr>
        <w:tcBorders>
          <w:bottom w:color="000000" w:space="0" w:sz="0" w:val="nil"/>
        </w:tcBorders>
        <w:vAlign w:val="bottom"/>
      </w:tcPr>
    </w:tblStylePr>
  </w:style>
  <w:style w:type="table" w:styleId="Table4">
    <w:basedOn w:val="TableNormal"/>
    <w:tblPr>
      <w:tblStyleRowBandSize w:val="1"/>
      <w:tblStyleColBandSize w:val="1"/>
      <w:tblCellMar>
        <w:top w:w="0.0" w:type="dxa"/>
        <w:left w:w="108.0" w:type="dxa"/>
        <w:bottom w:w="0.0" w:type="dxa"/>
        <w:right w:w="108.0" w:type="dxa"/>
      </w:tblCellMar>
    </w:tblPr>
    <w:tblStylePr w:type="firstRow">
      <w:tcPr>
        <w:tcBorders>
          <w:bottom w:color="000000" w:space="0" w:sz="0" w:val="nil"/>
        </w:tcBorders>
        <w:vAlign w:val="bottom"/>
      </w:tcPr>
    </w:tblStylePr>
  </w:style>
  <w:style w:type="table" w:styleId="Table5">
    <w:basedOn w:val="TableNormal"/>
    <w:tblPr>
      <w:tblStyleRowBandSize w:val="1"/>
      <w:tblStyleColBandSize w:val="1"/>
      <w:tblCellMar>
        <w:top w:w="0.0" w:type="dxa"/>
        <w:left w:w="108.0" w:type="dxa"/>
        <w:bottom w:w="0.0" w:type="dxa"/>
        <w:right w:w="108.0" w:type="dxa"/>
      </w:tblCellMar>
    </w:tblPr>
    <w:tblStylePr w:type="firstRow">
      <w:tcPr>
        <w:tcBorders>
          <w:bottom w:color="000000" w:space="0" w:sz="0" w:val="nil"/>
        </w:tcBorders>
        <w:vAlign w:val="bottom"/>
      </w:tcPr>
    </w:tblStylePr>
  </w:style>
  <w:style w:type="table" w:styleId="Table6">
    <w:basedOn w:val="TableNormal"/>
    <w:tblPr>
      <w:tblStyleRowBandSize w:val="1"/>
      <w:tblStyleColBandSize w:val="1"/>
      <w:tblCellMar>
        <w:top w:w="0.0" w:type="dxa"/>
        <w:left w:w="108.0" w:type="dxa"/>
        <w:bottom w:w="0.0" w:type="dxa"/>
        <w:right w:w="108.0" w:type="dxa"/>
      </w:tblCellMar>
    </w:tblPr>
    <w:tblStylePr w:type="firstRow">
      <w:tcPr>
        <w:tcBorders>
          <w:bottom w:color="000000" w:space="0" w:sz="0" w:val="nil"/>
        </w:tcBorders>
        <w:vAlign w:val="bottom"/>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4.jpg"/><Relationship Id="rId22" Type="http://schemas.openxmlformats.org/officeDocument/2006/relationships/image" Target="media/image2.png"/><Relationship Id="rId10" Type="http://schemas.openxmlformats.org/officeDocument/2006/relationships/image" Target="media/image11.jpg"/><Relationship Id="rId21" Type="http://schemas.openxmlformats.org/officeDocument/2006/relationships/image" Target="media/image1.png"/><Relationship Id="rId13" Type="http://schemas.openxmlformats.org/officeDocument/2006/relationships/image" Target="media/image13.jpg"/><Relationship Id="rId24" Type="http://schemas.openxmlformats.org/officeDocument/2006/relationships/footer" Target="footer1.xml"/><Relationship Id="rId12" Type="http://schemas.openxmlformats.org/officeDocument/2006/relationships/image" Target="media/image10.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peterhalpin.github.io/RDIF-workshop/" TargetMode="External"/><Relationship Id="rId15" Type="http://schemas.openxmlformats.org/officeDocument/2006/relationships/image" Target="media/image3.jpg"/><Relationship Id="rId14" Type="http://schemas.openxmlformats.org/officeDocument/2006/relationships/image" Target="media/image12.jpg"/><Relationship Id="rId17" Type="http://schemas.openxmlformats.org/officeDocument/2006/relationships/image" Target="media/image8.jpg"/><Relationship Id="rId16" Type="http://schemas.openxmlformats.org/officeDocument/2006/relationships/image" Target="media/image7.jpg"/><Relationship Id="rId5" Type="http://schemas.openxmlformats.org/officeDocument/2006/relationships/numbering" Target="numbering.xml"/><Relationship Id="rId19" Type="http://schemas.openxmlformats.org/officeDocument/2006/relationships/image" Target="media/image6.png"/><Relationship Id="rId6" Type="http://schemas.openxmlformats.org/officeDocument/2006/relationships/styles" Target="styles.xml"/><Relationship Id="rId18" Type="http://schemas.openxmlformats.org/officeDocument/2006/relationships/image" Target="media/image9.jp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9Dh7C7dG6krIz2/84oDuzpaJYA==">CgMxLjAaJwoBMBIiCiAIBCocCgtBQUFCQWdycldqaxAIGgtBQUFCQWdycldqayKZAgoLQUFBQkFncnJXamsS5wEKC0FBQUJBZ3JyV2prEgtBQUFCQWdycldqaxohCgl0ZXh0L2h0bWwSFEluY29tcGxldGUgc2VudGVuY2U/IiIKCnRleHQvcGxhaW4SFEluY29tcGxldGUgc2VudGVuY2U/KhsiFTEwOTQzMjEzMjY4MTkyNTQ5NjIyMigAOAAwgtGescMxOILRnrHDMUodCgp0ZXh0L3BsYWluEg9yZXNvbHZlciBwYXJhIHlaDGV4NGJiZ2U1aXYyZnICIAB4AJoBBggAEAAYAKoBFhIUSW5jb21wbGV0ZSBzZW50ZW5jZT+wAQC4AQAYgtGescMxIILRnrHDMTAAQhBraXguaDFvY2gyYTRrd2M0MglpZC5namRneHM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