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</w:pPr>
      <w:r w:rsidDel="00000000" w:rsidR="00000000" w:rsidRPr="00000000">
        <w:rPr>
          <w:rtl w:val="0"/>
        </w:rPr>
        <w:t xml:space="preserve">Parte 2: Funcionamiento Diferencial de los Ítems</w:t>
      </w:r>
    </w:p>
    <w:p w:rsidR="00000000" w:rsidDel="00000000" w:rsidP="00000000" w:rsidRDefault="00000000" w:rsidRPr="00000000" w14:paraId="00000002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Peter F. Halpin</w:t>
      </w:r>
    </w:p>
    <w:bookmarkStart w:colFirst="0" w:colLast="0" w:name="bookmark=id.gjdgxs" w:id="0"/>
    <w:bookmarkEnd w:id="0"/>
    <w:p w:rsidR="00000000" w:rsidDel="00000000" w:rsidP="00000000" w:rsidRDefault="00000000" w:rsidRPr="00000000" w14:paraId="00000003">
      <w:pPr>
        <w:pStyle w:val="Heading2"/>
        <w:rPr/>
      </w:pPr>
      <w:r w:rsidDel="00000000" w:rsidR="00000000" w:rsidRPr="00000000">
        <w:rPr>
          <w:rtl w:val="0"/>
        </w:rPr>
        <w:t xml:space="preserve">Descripción General del Taller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Parte 1. Introducción + análisis factorial + IM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Parte 2. TRI + FDI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🡨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Parte 3. Escalamiento robusto + FDI + DTF</w:t>
      </w:r>
    </w:p>
    <w:bookmarkStart w:colFirst="0" w:colLast="0" w:name="bookmark=id.30j0zll" w:id="1"/>
    <w:bookmarkEnd w:id="1"/>
    <w:p w:rsidR="00000000" w:rsidDel="00000000" w:rsidP="00000000" w:rsidRDefault="00000000" w:rsidRPr="00000000" w14:paraId="00000007">
      <w:pPr>
        <w:pStyle w:val="Heading2"/>
        <w:rPr/>
      </w:pPr>
      <w:r w:rsidDel="00000000" w:rsidR="00000000" w:rsidRPr="00000000">
        <w:rPr>
          <w:rtl w:val="0"/>
        </w:rPr>
        <w:t xml:space="preserve">Descripción General de la Parte 2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Revisar los objetivos del análisis de FDI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Datos binarios TRI (2PL)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TRI para datos categóricos ordenados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(GRM)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1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 Modelo de respuesta Graduado es el análogo TRI del análisis factorial categórico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Pruebas de FDI usando la prueba de razón de verosimilitudes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1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Selección de ítems ancla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Ejemplo práctico</w:t>
      </w:r>
    </w:p>
    <w:bookmarkStart w:colFirst="0" w:colLast="0" w:name="bookmark=id.1fob9te" w:id="2"/>
    <w:bookmarkEnd w:id="2"/>
    <w:p w:rsidR="00000000" w:rsidDel="00000000" w:rsidP="00000000" w:rsidRDefault="00000000" w:rsidRPr="00000000" w14:paraId="0000000F">
      <w:pPr>
        <w:pStyle w:val="Heading2"/>
        <w:rPr/>
      </w:pPr>
      <w:r w:rsidDel="00000000" w:rsidR="00000000" w:rsidRPr="00000000">
        <w:rPr>
          <w:rtl w:val="0"/>
        </w:rPr>
        <w:t xml:space="preserve">Organización</w:t>
      </w:r>
    </w:p>
    <w:p w:rsidR="00000000" w:rsidDel="00000000" w:rsidP="00000000" w:rsidRDefault="00000000" w:rsidRPr="00000000" w14:paraId="00000010">
      <w:pPr>
        <w:numPr>
          <w:ilvl w:val="0"/>
          <w:numId w:val="50"/>
        </w:numPr>
        <w:ind w:left="720" w:hanging="480"/>
        <w:rPr/>
      </w:pPr>
      <w:r w:rsidDel="00000000" w:rsidR="00000000" w:rsidRPr="00000000">
        <w:rPr>
          <w:rtl w:val="0"/>
        </w:rPr>
        <w:t xml:space="preserve">Sitio web: </w:t>
      </w:r>
      <w:hyperlink r:id="rId7">
        <w:r w:rsidDel="00000000" w:rsidR="00000000" w:rsidRPr="00000000">
          <w:rPr>
            <w:color w:val="4f81bd"/>
            <w:rtl w:val="0"/>
          </w:rPr>
          <w:t xml:space="preserve">peterhalpin.github.io/RDIF-workshop/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50"/>
        </w:numPr>
        <w:ind w:left="720" w:hanging="480"/>
        <w:rPr/>
      </w:pPr>
      <w:r w:rsidDel="00000000" w:rsidR="00000000" w:rsidRPr="00000000">
        <w:rPr>
          <w:rtl w:val="0"/>
        </w:rPr>
        <w:t xml:space="preserve">Diapositivas: Estas diapositivas en formato HTML</w:t>
      </w:r>
    </w:p>
    <w:p w:rsidR="00000000" w:rsidDel="00000000" w:rsidP="00000000" w:rsidRDefault="00000000" w:rsidRPr="00000000" w14:paraId="00000012">
      <w:pPr>
        <w:numPr>
          <w:ilvl w:val="0"/>
          <w:numId w:val="50"/>
        </w:numPr>
        <w:ind w:left="720" w:hanging="480"/>
        <w:rPr/>
      </w:pPr>
      <w:r w:rsidDel="00000000" w:rsidR="00000000" w:rsidRPr="00000000">
        <w:rPr>
          <w:rtl w:val="0"/>
        </w:rPr>
        <w:t xml:space="preserve">Notas: Estas diapositivas en formato DOCX (traducido, editable)</w:t>
      </w:r>
    </w:p>
    <w:p w:rsidR="00000000" w:rsidDel="00000000" w:rsidP="00000000" w:rsidRDefault="00000000" w:rsidRPr="00000000" w14:paraId="00000013">
      <w:pPr>
        <w:numPr>
          <w:ilvl w:val="0"/>
          <w:numId w:val="50"/>
        </w:numPr>
        <w:ind w:left="720" w:hanging="480"/>
        <w:rPr/>
      </w:pPr>
      <w:r w:rsidDel="00000000" w:rsidR="00000000" w:rsidRPr="00000000">
        <w:rPr>
          <w:rtl w:val="0"/>
        </w:rPr>
        <w:t xml:space="preserve">Código: Solo el código de estas diapositivas</w:t>
      </w:r>
    </w:p>
    <w:bookmarkStart w:colFirst="0" w:colLast="0" w:name="bookmark=id.3znysh7" w:id="3"/>
    <w:bookmarkEnd w:id="3"/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tl w:val="0"/>
        </w:rPr>
        <w:t xml:space="preserve">Objetivos del análisis de FDI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Aseguramiento de la calidad ítem por ítem</w:t>
      </w:r>
    </w:p>
    <w:bookmarkStart w:colFirst="0" w:colLast="0" w:name="bookmark=id.2et92p0" w:id="4"/>
    <w:bookmarkEnd w:id="4"/>
    <w:p w:rsidR="00000000" w:rsidDel="00000000" w:rsidP="00000000" w:rsidRDefault="00000000" w:rsidRPr="00000000" w14:paraId="00000016">
      <w:pPr>
        <w:pStyle w:val="Heading2"/>
        <w:rPr/>
      </w:pPr>
      <w:r w:rsidDel="00000000" w:rsidR="00000000" w:rsidRPr="00000000">
        <w:rPr>
          <w:rtl w:val="0"/>
        </w:rPr>
        <w:t xml:space="preserve">Recapitulación</w:t>
      </w:r>
    </w:p>
    <w:p w:rsidR="00000000" w:rsidDel="00000000" w:rsidP="00000000" w:rsidRDefault="00000000" w:rsidRPr="00000000" w14:paraId="00000017">
      <w:pPr>
        <w:numPr>
          <w:ilvl w:val="0"/>
          <w:numId w:val="54"/>
        </w:numPr>
        <w:ind w:left="720" w:hanging="480"/>
        <w:rPr/>
      </w:pPr>
      <w:r w:rsidDel="00000000" w:rsidR="00000000" w:rsidRPr="00000000">
        <w:rPr>
          <w:rtl w:val="0"/>
        </w:rPr>
        <w:t xml:space="preserve">Los modelos psicométricos plantean dos explicaciones no mutuamente excluyentes de por qué la distribución de las puntuaciones de las pruebas puede diferir entre grupos de encuestados</w:t>
      </w:r>
    </w:p>
    <w:p w:rsidR="00000000" w:rsidDel="00000000" w:rsidP="00000000" w:rsidRDefault="00000000" w:rsidRPr="00000000" w14:paraId="00000018">
      <w:pPr>
        <w:numPr>
          <w:ilvl w:val="1"/>
          <w:numId w:val="56"/>
        </w:numPr>
        <w:ind w:left="1440" w:hanging="480"/>
        <w:rPr/>
      </w:pPr>
      <w:r w:rsidDel="00000000" w:rsidR="00000000" w:rsidRPr="00000000">
        <w:rPr>
          <w:rtl w:val="0"/>
        </w:rPr>
        <w:t xml:space="preserve">Impacto: los grupos difieren en el rasgo que se está midiendo</w:t>
      </w:r>
    </w:p>
    <w:p w:rsidR="00000000" w:rsidDel="00000000" w:rsidP="00000000" w:rsidRDefault="00000000" w:rsidRPr="00000000" w14:paraId="00000019">
      <w:pPr>
        <w:numPr>
          <w:ilvl w:val="1"/>
          <w:numId w:val="56"/>
        </w:numPr>
        <w:ind w:left="1440" w:hanging="480"/>
        <w:rPr/>
      </w:pPr>
      <w:r w:rsidDel="00000000" w:rsidR="00000000" w:rsidRPr="00000000">
        <w:rPr>
          <w:rtl w:val="0"/>
        </w:rPr>
        <w:t xml:space="preserve">FDI: la medida está sesgada con respecto a la pertenencia a un grupo</w:t>
      </w:r>
    </w:p>
    <w:p w:rsidR="00000000" w:rsidDel="00000000" w:rsidP="00000000" w:rsidRDefault="00000000" w:rsidRPr="00000000" w14:paraId="0000001A">
      <w:pPr>
        <w:numPr>
          <w:ilvl w:val="0"/>
          <w:numId w:val="54"/>
        </w:numPr>
        <w:ind w:left="720" w:hanging="480"/>
        <w:rPr/>
      </w:pPr>
      <w:r w:rsidDel="00000000" w:rsidR="00000000" w:rsidRPr="00000000">
        <w:rPr>
          <w:rtl w:val="0"/>
        </w:rPr>
        <w:t xml:space="preserve">El objetivo del análisis de FDI es detectar ítems sesgados sin hacer suposiciones sobre el impacto</w:t>
      </w:r>
    </w:p>
    <w:bookmarkStart w:colFirst="0" w:colLast="0" w:name="bookmark=id.tyjcwt" w:id="5"/>
    <w:bookmarkEnd w:id="5"/>
    <w:p w:rsidR="00000000" w:rsidDel="00000000" w:rsidP="00000000" w:rsidRDefault="00000000" w:rsidRPr="00000000" w14:paraId="0000001B">
      <w:pPr>
        <w:pStyle w:val="Heading2"/>
        <w:rPr/>
      </w:pPr>
      <w:r w:rsidDel="00000000" w:rsidR="00000000" w:rsidRPr="00000000">
        <w:rPr>
          <w:rtl w:val="0"/>
        </w:rPr>
        <w:t xml:space="preserve">¿FDI como seguimiento a IM?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 el marco de análisis factorial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1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IM: prueba de la hipótesis de "no FDI" sobre todos los ítems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1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FDI: procedimientos para el seguimiento del rechazo de IM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2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216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También llamado IM parcial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2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216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Vea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semTools::partialInvariance()</w:t>
      </w:r>
      <w:r w:rsidDel="00000000" w:rsidR="00000000" w:rsidRPr="00000000">
        <w:rPr>
          <w:rtl w:val="0"/>
        </w:rPr>
      </w:r>
    </w:p>
    <w:bookmarkStart w:colFirst="0" w:colLast="0" w:name="bookmark=id.3dy6vkm" w:id="6"/>
    <w:bookmarkEnd w:id="6"/>
    <w:p w:rsidR="00000000" w:rsidDel="00000000" w:rsidP="00000000" w:rsidRDefault="00000000" w:rsidRPr="00000000" w14:paraId="00000021">
      <w:pPr>
        <w:pStyle w:val="Heading2"/>
        <w:rPr/>
      </w:pPr>
      <w:r w:rsidDel="00000000" w:rsidR="00000000" w:rsidRPr="00000000">
        <w:rPr>
          <w:rtl w:val="0"/>
        </w:rPr>
        <w:t xml:space="preserve">¿FDI como seguimiento a IM?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 el marco de TRI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1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 objetivo de FDI es tomar decisiones a nivel de ítem (mantener, revisar, omitir)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1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Los niveles de IM no se traducen directamente en decisiones a nivel de ítem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1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 lo tanto, los analistas de FDI generalmente omiten IM (vea Thissen, 2023)</w:t>
      </w:r>
    </w:p>
    <w:bookmarkStart w:colFirst="0" w:colLast="0" w:name="bookmark=id.1t3h5sf" w:id="7"/>
    <w:bookmarkEnd w:id="7"/>
    <w:p w:rsidR="00000000" w:rsidDel="00000000" w:rsidP="00000000" w:rsidRDefault="00000000" w:rsidRPr="00000000" w14:paraId="00000026">
      <w:pPr>
        <w:pStyle w:val="Heading2"/>
        <w:rPr/>
      </w:pPr>
      <w:r w:rsidDel="00000000" w:rsidR="00000000" w:rsidRPr="00000000">
        <w:rPr>
          <w:rtl w:val="0"/>
        </w:rPr>
        <w:t xml:space="preserve">Visión general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Modelo de medición genérico: IM débil / métrica</w:t>
      </w:r>
    </w:p>
    <w:tbl>
      <w:tblPr>
        <w:tblStyle w:val="Table1"/>
        <w:tblW w:w="9576.0" w:type="dxa"/>
        <w:jc w:val="left"/>
        <w:tblInd w:w="-108.0" w:type="dxa"/>
        <w:tblLayout w:type="fixed"/>
        <w:tblLook w:val="0000"/>
      </w:tblPr>
      <w:tblGrid>
        <w:gridCol w:w="9576"/>
        <w:tblGridChange w:id="0">
          <w:tblGrid>
            <w:gridCol w:w="957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8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5334000" cy="3001263"/>
                  <wp:effectExtent b="0" l="0" r="0" t="0"/>
                  <wp:docPr id="1024429715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30012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0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bookmarkStart w:colFirst="0" w:colLast="0" w:name="bookmark=id.4d34og8" w:id="8"/>
    <w:bookmarkEnd w:id="8"/>
    <w:p w:rsidR="00000000" w:rsidDel="00000000" w:rsidP="00000000" w:rsidRDefault="00000000" w:rsidRPr="00000000" w14:paraId="0000002A">
      <w:pPr>
        <w:pStyle w:val="Heading2"/>
        <w:rPr/>
      </w:pPr>
      <w:r w:rsidDel="00000000" w:rsidR="00000000" w:rsidRPr="00000000">
        <w:rPr>
          <w:rtl w:val="0"/>
        </w:rPr>
        <w:t xml:space="preserve">Visión general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Modelo de medición genérico: IM fuerte / escalar</w:t>
      </w:r>
    </w:p>
    <w:tbl>
      <w:tblPr>
        <w:tblStyle w:val="Table2"/>
        <w:tblW w:w="9576.0" w:type="dxa"/>
        <w:jc w:val="left"/>
        <w:tblInd w:w="-108.0" w:type="dxa"/>
        <w:tblLayout w:type="fixed"/>
        <w:tblLook w:val="0000"/>
      </w:tblPr>
      <w:tblGrid>
        <w:gridCol w:w="9576"/>
        <w:tblGridChange w:id="0">
          <w:tblGrid>
            <w:gridCol w:w="957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C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5334000" cy="3001263"/>
                  <wp:effectExtent b="0" l="0" r="0" t="0"/>
                  <wp:docPr id="1024429717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30012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0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bookmarkStart w:colFirst="0" w:colLast="0" w:name="bookmark=id.2s8eyo1" w:id="9"/>
    <w:bookmarkEnd w:id="9"/>
    <w:p w:rsidR="00000000" w:rsidDel="00000000" w:rsidP="00000000" w:rsidRDefault="00000000" w:rsidRPr="00000000" w14:paraId="0000002E">
      <w:pPr>
        <w:pStyle w:val="Heading2"/>
        <w:rPr/>
      </w:pPr>
      <w:r w:rsidDel="00000000" w:rsidR="00000000" w:rsidRPr="00000000">
        <w:rPr>
          <w:rtl w:val="0"/>
        </w:rPr>
        <w:t xml:space="preserve">Visión General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Modelo de medición genérico: IM Estricta</w:t>
      </w:r>
    </w:p>
    <w:tbl>
      <w:tblPr>
        <w:tblStyle w:val="Table3"/>
        <w:tblW w:w="9576.0" w:type="dxa"/>
        <w:jc w:val="left"/>
        <w:tblInd w:w="-108.0" w:type="dxa"/>
        <w:tblLayout w:type="fixed"/>
        <w:tblLook w:val="0000"/>
      </w:tblPr>
      <w:tblGrid>
        <w:gridCol w:w="9576"/>
        <w:tblGridChange w:id="0">
          <w:tblGrid>
            <w:gridCol w:w="957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0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5334000" cy="3001263"/>
                  <wp:effectExtent b="0" l="0" r="0" t="0"/>
                  <wp:docPr id="1024429716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30012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0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bookmarkStart w:colFirst="0" w:colLast="0" w:name="bookmark=id.17dp8vu" w:id="10"/>
    <w:bookmarkEnd w:id="10"/>
    <w:p w:rsidR="00000000" w:rsidDel="00000000" w:rsidP="00000000" w:rsidRDefault="00000000" w:rsidRPr="00000000" w14:paraId="00000032">
      <w:pPr>
        <w:pStyle w:val="Heading2"/>
        <w:rPr/>
      </w:pPr>
      <w:r w:rsidDel="00000000" w:rsidR="00000000" w:rsidRPr="00000000">
        <w:rPr>
          <w:rtl w:val="0"/>
        </w:rPr>
        <w:t xml:space="preserve">Visión General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Modelo de medición genérico: FDI  ítem por ítem</w:t>
      </w:r>
    </w:p>
    <w:tbl>
      <w:tblPr>
        <w:tblStyle w:val="Table4"/>
        <w:tblW w:w="9576.0" w:type="dxa"/>
        <w:jc w:val="left"/>
        <w:tblInd w:w="-108.0" w:type="dxa"/>
        <w:tblLayout w:type="fixed"/>
        <w:tblLook w:val="0000"/>
      </w:tblPr>
      <w:tblGrid>
        <w:gridCol w:w="9576"/>
        <w:tblGridChange w:id="0">
          <w:tblGrid>
            <w:gridCol w:w="957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4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5334000" cy="3001263"/>
                  <wp:effectExtent b="0" l="0" r="0" t="0"/>
                  <wp:docPr id="1024429720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30012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0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bookmarkStart w:colFirst="0" w:colLast="0" w:name="bookmark=id.3rdcrjn" w:id="11"/>
    <w:bookmarkEnd w:id="11"/>
    <w:p w:rsidR="00000000" w:rsidDel="00000000" w:rsidP="00000000" w:rsidRDefault="00000000" w:rsidRPr="00000000" w14:paraId="00000036">
      <w:pPr>
        <w:pStyle w:val="Heading2"/>
        <w:rPr/>
      </w:pPr>
      <w:r w:rsidDel="00000000" w:rsidR="00000000" w:rsidRPr="00000000">
        <w:rPr>
          <w:rtl w:val="0"/>
        </w:rPr>
        <w:t xml:space="preserve">Visión General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Modelo de medición genérico: FDI ítem por ítem</w:t>
      </w:r>
    </w:p>
    <w:tbl>
      <w:tblPr>
        <w:tblStyle w:val="Table5"/>
        <w:tblW w:w="9576.0" w:type="dxa"/>
        <w:jc w:val="left"/>
        <w:tblInd w:w="-108.0" w:type="dxa"/>
        <w:tblLayout w:type="fixed"/>
        <w:tblLook w:val="0000"/>
      </w:tblPr>
      <w:tblGrid>
        <w:gridCol w:w="9576"/>
        <w:tblGridChange w:id="0">
          <w:tblGrid>
            <w:gridCol w:w="957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8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5334000" cy="3001263"/>
                  <wp:effectExtent b="0" l="0" r="0" t="0"/>
                  <wp:docPr id="1024429719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30012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0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bookmarkStart w:colFirst="0" w:colLast="0" w:name="bookmark=id.26in1rg" w:id="12"/>
    <w:bookmarkEnd w:id="12"/>
    <w:p w:rsidR="00000000" w:rsidDel="00000000" w:rsidP="00000000" w:rsidRDefault="00000000" w:rsidRPr="00000000" w14:paraId="0000003A">
      <w:pPr>
        <w:pStyle w:val="Heading2"/>
        <w:rPr/>
      </w:pPr>
      <w:r w:rsidDel="00000000" w:rsidR="00000000" w:rsidRPr="00000000">
        <w:rPr>
          <w:rtl w:val="0"/>
        </w:rPr>
        <w:t xml:space="preserve">Visión General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Modelo de medición genérico: FDI ítem por ítem</w:t>
      </w:r>
    </w:p>
    <w:tbl>
      <w:tblPr>
        <w:tblStyle w:val="Table6"/>
        <w:tblW w:w="9576.0" w:type="dxa"/>
        <w:jc w:val="left"/>
        <w:tblInd w:w="-108.0" w:type="dxa"/>
        <w:tblLayout w:type="fixed"/>
        <w:tblLook w:val="0000"/>
      </w:tblPr>
      <w:tblGrid>
        <w:gridCol w:w="9576"/>
        <w:tblGridChange w:id="0">
          <w:tblGrid>
            <w:gridCol w:w="957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C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5334000" cy="3001263"/>
                  <wp:effectExtent b="0" l="0" r="0" t="0"/>
                  <wp:docPr id="1024429722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30012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00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bookmarkStart w:colFirst="0" w:colLast="0" w:name="bookmark=id.lnxbz9" w:id="13"/>
    <w:bookmarkEnd w:id="13"/>
    <w:p w:rsidR="00000000" w:rsidDel="00000000" w:rsidP="00000000" w:rsidRDefault="00000000" w:rsidRPr="00000000" w14:paraId="0000003E">
      <w:pPr>
        <w:pStyle w:val="Heading2"/>
        <w:rPr/>
      </w:pPr>
      <w:r w:rsidDel="00000000" w:rsidR="00000000" w:rsidRPr="00000000">
        <w:rPr>
          <w:rtl w:val="0"/>
        </w:rPr>
        <w:t xml:space="preserve">Resumen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 IM y el FDI tratan  el mismo tema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Pero de manera diferente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1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IM: invarianza de parámetros entre grupos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1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FDI: invarianza de ítems entre grupos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Conceptualmente, podrían combinarse en una "gran teoría"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 la práctica, diferentes modelos, diferente software, diferentes entornos de investigación, diferentes tradiciones …</w:t>
      </w:r>
    </w:p>
    <w:bookmarkStart w:colFirst="0" w:colLast="0" w:name="bookmark=id.35nkun2" w:id="14"/>
    <w:bookmarkEnd w:id="14"/>
    <w:p w:rsidR="00000000" w:rsidDel="00000000" w:rsidP="00000000" w:rsidRDefault="00000000" w:rsidRPr="00000000" w14:paraId="00000045">
      <w:pPr>
        <w:pStyle w:val="Heading1"/>
        <w:rPr/>
      </w:pPr>
      <w:r w:rsidDel="00000000" w:rsidR="00000000" w:rsidRPr="00000000">
        <w:rPr>
          <w:rtl w:val="0"/>
        </w:rPr>
        <w:t xml:space="preserve">TRI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Datos binarios, luego datos categóricos ordenados</w:t>
      </w:r>
    </w:p>
    <w:bookmarkStart w:colFirst="0" w:colLast="0" w:name="bookmark=id.1ksv4uv" w:id="15"/>
    <w:bookmarkEnd w:id="15"/>
    <w:p w:rsidR="00000000" w:rsidDel="00000000" w:rsidP="00000000" w:rsidRDefault="00000000" w:rsidRPr="00000000" w14:paraId="00000047">
      <w:pPr>
        <w:pStyle w:val="Heading2"/>
        <w:rPr/>
      </w:pPr>
      <w:r w:rsidDel="00000000" w:rsidR="00000000" w:rsidRPr="00000000">
        <w:rPr>
          <w:rtl w:val="0"/>
        </w:rPr>
        <w:t xml:space="preserve">TRI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Hay muchos modelos de TRI</w:t>
        <w:br w:type="textWrapping"/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Nos enfocaremos en dos modelos análogos al análisis factorial para datos categóricos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 términos de análisis de FDI, los mismos principios aplican independientemente del modelo que se utilice</w:t>
      </w:r>
    </w:p>
    <w:bookmarkStart w:colFirst="0" w:colLast="0" w:name="bookmark=id.44sinio" w:id="16"/>
    <w:bookmarkEnd w:id="16"/>
    <w:p w:rsidR="00000000" w:rsidDel="00000000" w:rsidP="00000000" w:rsidRDefault="00000000" w:rsidRPr="00000000" w14:paraId="0000004B">
      <w:pPr>
        <w:pStyle w:val="Heading2"/>
        <w:rPr/>
      </w:pPr>
      <w:r w:rsidDel="00000000" w:rsidR="00000000" w:rsidRPr="00000000">
        <w:rPr>
          <w:rtl w:val="0"/>
        </w:rPr>
        <w:t xml:space="preserve">Nota sobre terminología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TRI fue desarrollado en el contexto de pruebas educativas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Mucha de la terminología del modelo refleja este contexto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1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p. ej., hablamos sobre la dificultad de los ítems, la habilidad de los respondientes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Otra terminología es más adecuada en otros contextos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1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p. ej., la severidad de los síntomas, la depresión de los respondientes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 común usar diferente terminología dependiendo del contexto</w:t>
      </w:r>
    </w:p>
    <w:bookmarkStart w:colFirst="0" w:colLast="0" w:name="bookmark=id.2jxsxqh" w:id="17"/>
    <w:bookmarkEnd w:id="17"/>
    <w:p w:rsidR="00000000" w:rsidDel="00000000" w:rsidP="00000000" w:rsidRDefault="00000000" w:rsidRPr="00000000" w14:paraId="00000052">
      <w:pPr>
        <w:pStyle w:val="Heading2"/>
        <w:rPr/>
      </w:pPr>
      <w:r w:rsidDel="00000000" w:rsidR="00000000" w:rsidRPr="00000000">
        <w:rPr>
          <w:rtl w:val="0"/>
        </w:rPr>
        <w:t xml:space="preserve">Nota sobre símbolos matemáticos</w:t>
      </w:r>
    </w:p>
    <w:p w:rsidR="00000000" w:rsidDel="00000000" w:rsidP="00000000" w:rsidRDefault="00000000" w:rsidRPr="00000000" w14:paraId="00000053">
      <w:pPr>
        <w:numPr>
          <w:ilvl w:val="0"/>
          <w:numId w:val="64"/>
        </w:numPr>
        <w:ind w:left="720" w:hanging="480"/>
        <w:rPr/>
      </w:pPr>
      <w:r w:rsidDel="00000000" w:rsidR="00000000" w:rsidRPr="00000000">
        <w:rPr>
          <w:rtl w:val="0"/>
        </w:rPr>
        <w:t xml:space="preserve">En TRI, usualmente la letra “</w:t>
      </w:r>
      <m:oMath>
        <m:r>
          <m:t>θ</m:t>
        </m:r>
      </m:oMath>
      <w:r w:rsidDel="00000000" w:rsidR="00000000" w:rsidRPr="00000000">
        <w:rPr>
          <w:rtl w:val="0"/>
        </w:rPr>
        <w:t xml:space="preserve">” denota el rasgo latente (habilidad)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1"/>
          <w:numId w:val="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Utilizaré esta terminología para ser consistente con el software de TRI</w:t>
      </w:r>
    </w:p>
    <w:p w:rsidR="00000000" w:rsidDel="00000000" w:rsidP="00000000" w:rsidRDefault="00000000" w:rsidRPr="00000000" w14:paraId="00000055">
      <w:pPr>
        <w:numPr>
          <w:ilvl w:val="0"/>
          <w:numId w:val="64"/>
        </w:numPr>
        <w:ind w:left="720" w:hanging="480"/>
        <w:rPr/>
      </w:pPr>
      <w:r w:rsidDel="00000000" w:rsidR="00000000" w:rsidRPr="00000000">
        <w:rPr>
          <w:rtl w:val="0"/>
        </w:rPr>
        <w:t xml:space="preserve">Como en el análisis factorial, usualmente asumimos </w:t>
      </w:r>
      <m:oMath>
        <m:r>
          <m:t>θ</m:t>
        </m:r>
        <m:r>
          <m:t>∼</m:t>
        </m:r>
        <m:r>
          <w:rPr>
            <w:rFonts w:ascii="Cambria Math" w:cs="Cambria Math" w:eastAsia="Cambria Math" w:hAnsi="Cambria Math"/>
          </w:rPr>
          <m:t xml:space="preserve">N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</w:rPr>
            </m:ctrlPr>
          </m:dPr>
          <m:e>
            <m:r>
              <w:rPr>
                <w:rFonts w:ascii="Cambria Math" w:cs="Cambria Math" w:eastAsia="Cambria Math" w:hAnsi="Cambria Math"/>
              </w:rPr>
              <m:t xml:space="preserve">0,1</m:t>
            </m:r>
          </m:e>
        </m:d>
      </m:oMath>
      <w:r w:rsidDel="00000000" w:rsidR="00000000" w:rsidRPr="00000000">
        <w:rPr>
          <w:rtl w:val="0"/>
        </w:rPr>
        <w:t xml:space="preserve"> cuando consideramos un solo grupo o población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1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Abordaremos cómo estimar el impacto más adelante</w:t>
      </w:r>
    </w:p>
    <w:bookmarkStart w:colFirst="0" w:colLast="0" w:name="bookmark=id.z337ya" w:id="18"/>
    <w:bookmarkEnd w:id="18"/>
    <w:p w:rsidR="00000000" w:rsidDel="00000000" w:rsidP="00000000" w:rsidRDefault="00000000" w:rsidRPr="00000000" w14:paraId="00000057">
      <w:pPr>
        <w:pStyle w:val="Heading2"/>
        <w:rPr/>
      </w:pPr>
      <w:r w:rsidDel="00000000" w:rsidR="00000000" w:rsidRPr="00000000">
        <w:rPr>
          <w:rtl w:val="0"/>
        </w:rPr>
        <w:t xml:space="preserve">El modelo logístico de 2 parámetros (2PL)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 2PL es aplicable a respuestas de ítems binarios, por ejemplo: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1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correcto / incorrecto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1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sí / no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1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aprobado / no aprobado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También es un bloque de construcción para modelos con &gt; 2 categorías de respuesta ordenadas</w:t>
      </w:r>
    </w:p>
    <w:bookmarkStart w:colFirst="0" w:colLast="0" w:name="bookmark=id.3j2qqm3" w:id="19"/>
    <w:bookmarkEnd w:id="19"/>
    <w:p w:rsidR="00000000" w:rsidDel="00000000" w:rsidP="00000000" w:rsidRDefault="00000000" w:rsidRPr="00000000" w14:paraId="0000005D">
      <w:pPr>
        <w:pStyle w:val="Heading2"/>
        <w:rPr/>
      </w:pPr>
      <w:r w:rsidDel="00000000" w:rsidR="00000000" w:rsidRPr="00000000">
        <w:rPr>
          <w:rtl w:val="0"/>
        </w:rPr>
        <w:t xml:space="preserve">Funciones de respuesta al ítem (FRI)</w:t>
      </w:r>
    </w:p>
    <w:p w:rsidR="00000000" w:rsidDel="00000000" w:rsidP="00000000" w:rsidRDefault="00000000" w:rsidRPr="00000000" w14:paraId="0000005E">
      <w:pPr>
        <w:numPr>
          <w:ilvl w:val="0"/>
          <w:numId w:val="55"/>
        </w:numPr>
        <w:ind w:left="720" w:hanging="480"/>
        <w:rPr/>
      </w:pPr>
      <w:r w:rsidDel="00000000" w:rsidR="00000000" w:rsidRPr="00000000">
        <w:rPr>
          <w:rtl w:val="0"/>
        </w:rPr>
        <w:t xml:space="preserve">Es costumbre presentar los modelos de TRI en términos del modelo de medición para cada ítem: </w:t>
      </w:r>
      <m:oMath>
        <m:r>
          <w:rPr>
            <w:rFonts w:ascii="Cambria Math" w:cs="Cambria Math" w:eastAsia="Cambria Math" w:hAnsi="Cambria Math"/>
          </w:rPr>
          <m:t xml:space="preserve">p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</w:rPr>
            </m:ctrlPr>
          </m:dPr>
          <m:e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 xml:space="preserve">X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j</m:t>
                </m:r>
              </m:sub>
            </m:sSub>
            <m:r>
              <w:rPr>
                <w:rFonts w:ascii="Cambria Math" w:cs="Cambria Math" w:eastAsia="Cambria Math" w:hAnsi="Cambria Math"/>
              </w:rPr>
              <m:t xml:space="preserve">∣</m:t>
            </m:r>
            <m:r>
              <w:rPr>
                <w:rFonts w:ascii="Cambria Math" w:cs="Cambria Math" w:eastAsia="Cambria Math" w:hAnsi="Cambria Math"/>
              </w:rPr>
              <m:t>θ</m:t>
            </m:r>
          </m:e>
        </m: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numPr>
          <w:ilvl w:val="0"/>
          <w:numId w:val="55"/>
        </w:numPr>
        <w:ind w:left="720" w:hanging="480"/>
        <w:rPr/>
      </w:pPr>
      <w:r w:rsidDel="00000000" w:rsidR="00000000" w:rsidRPr="00000000">
        <w:rPr>
          <w:rtl w:val="0"/>
        </w:rPr>
        <w:t xml:space="preserve">Para datos binarios:</w:t>
      </w:r>
    </w:p>
    <w:p w:rsidR="00000000" w:rsidDel="00000000" w:rsidP="00000000" w:rsidRDefault="00000000" w:rsidRPr="00000000" w14:paraId="00000060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P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</m:sSub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θ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r>
          <w:rPr>
            <w:rFonts w:ascii="Cambria" w:cs="Cambria" w:eastAsia="Cambria" w:hAnsi="Cambria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Prob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X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j</m:t>
                </m:r>
              </m:sub>
            </m:s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=1∣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θ</m:t>
            </m:r>
          </m:e>
        </m: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numPr>
          <w:ilvl w:val="0"/>
          <w:numId w:val="57"/>
        </w:numPr>
        <w:ind w:left="720" w:hanging="480"/>
        <w:rPr/>
      </w:pPr>
      <w:r w:rsidDel="00000000" w:rsidR="00000000" w:rsidRPr="00000000">
        <w:rPr>
          <w:rtl w:val="0"/>
        </w:rPr>
        <w:t xml:space="preserve">Esto se llama la función de respuesta al ítem (FRI)</w:t>
      </w:r>
    </w:p>
    <w:p w:rsidR="00000000" w:rsidDel="00000000" w:rsidP="00000000" w:rsidRDefault="00000000" w:rsidRPr="00000000" w14:paraId="00000062">
      <w:pPr>
        <w:numPr>
          <w:ilvl w:val="0"/>
          <w:numId w:val="57"/>
        </w:numPr>
        <w:ind w:left="720" w:hanging="480"/>
        <w:rPr/>
      </w:pPr>
      <w:r w:rsidDel="00000000" w:rsidR="00000000" w:rsidRPr="00000000">
        <w:rPr>
          <w:rtl w:val="0"/>
        </w:rPr>
        <w:t xml:space="preserve">Describe cómo la probabilidad de aprobar un ítem depende del nivel del rasgo que se está midiendo</w:t>
      </w:r>
    </w:p>
    <w:bookmarkStart w:colFirst="0" w:colLast="0" w:name="bookmark=id.1y810tw" w:id="20"/>
    <w:bookmarkEnd w:id="20"/>
    <w:p w:rsidR="00000000" w:rsidDel="00000000" w:rsidP="00000000" w:rsidRDefault="00000000" w:rsidRPr="00000000" w14:paraId="00000063">
      <w:pPr>
        <w:pStyle w:val="Heading2"/>
        <w:rPr/>
      </w:pPr>
      <w:r w:rsidDel="00000000" w:rsidR="00000000" w:rsidRPr="00000000">
        <w:rPr>
          <w:rtl w:val="0"/>
        </w:rPr>
        <w:t xml:space="preserve">La FRI de 2PL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Esto es solo la función logística de la regresión logística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</m:sSub>
      </m:oMath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se llama el parámetro de discriminación del ítem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numPr>
          <w:ilvl w:val="1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Pendiente de la regresión logística, similar a las cargas factoriales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b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</m:sSub>
      </m:oMath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se llama el parámetro de dificultad del ítem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numPr>
          <w:ilvl w:val="1"/>
          <w:numId w:val="8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Intercepto re-escalado</w:t>
      </w:r>
    </w:p>
    <w:bookmarkStart w:colFirst="0" w:colLast="0" w:name="bookmark=id.4i7ojhp" w:id="21"/>
    <w:bookmarkEnd w:id="21"/>
    <w:p w:rsidR="00000000" w:rsidDel="00000000" w:rsidP="00000000" w:rsidRDefault="00000000" w:rsidRPr="00000000" w14:paraId="0000006A">
      <w:pPr>
        <w:pStyle w:val="Heading2"/>
        <w:rPr/>
      </w:pPr>
      <w:r w:rsidDel="00000000" w:rsidR="00000000" w:rsidRPr="00000000">
        <w:rPr>
          <w:rtl w:val="0"/>
        </w:rPr>
        <w:t xml:space="preserve">Ejemplos de FRI de 2PL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1f3f5" w:val="clear"/>
        <w:spacing w:after="20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library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(mirt)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1f3f5" w:val="clear"/>
        <w:spacing w:after="20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Loading required package: stats4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1f3f5" w:val="clear"/>
        <w:spacing w:after="20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Loading required package: lattice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1f3f5" w:val="clear"/>
        <w:spacing w:after="20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path_to_data &lt;-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"ECDI_learning.csv"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learning_items &lt;-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read.csv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(path_to_data)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# Run the 2Pl model  analysis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twoPL &lt;-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mirt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(learning_items,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model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1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itemtype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"2PL"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verbose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F)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plot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(twoPL,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type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"trace"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facet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F,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theta_lim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c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-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3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3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lwd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2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334000" cy="4267200"/>
            <wp:effectExtent b="0" l="0" r="0" t="0"/>
            <wp:docPr id="102442972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26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bookmarkStart w:colFirst="0" w:colLast="0" w:name="bookmark=id.2xcytpi" w:id="22"/>
    <w:bookmarkEnd w:id="22"/>
    <w:p w:rsidR="00000000" w:rsidDel="00000000" w:rsidP="00000000" w:rsidRDefault="00000000" w:rsidRPr="00000000" w14:paraId="00000070">
      <w:pPr>
        <w:pStyle w:val="Heading2"/>
        <w:rPr/>
      </w:pPr>
      <w:r w:rsidDel="00000000" w:rsidR="00000000" w:rsidRPr="00000000">
        <w:rPr>
          <w:rtl w:val="0"/>
        </w:rPr>
        <w:t xml:space="preserve">Interpretación de los parámetros del modelo</w:t>
      </w:r>
    </w:p>
    <w:p w:rsidR="00000000" w:rsidDel="00000000" w:rsidP="00000000" w:rsidRDefault="00000000" w:rsidRPr="00000000" w14:paraId="00000071">
      <w:pPr>
        <w:numPr>
          <w:ilvl w:val="0"/>
          <w:numId w:val="83"/>
        </w:numPr>
        <w:ind w:left="720" w:hanging="480"/>
        <w:rPr/>
      </w:pPr>
      <w:r w:rsidDel="00000000" w:rsidR="00000000" w:rsidRPr="00000000">
        <w:rPr>
          <w:rtl w:val="0"/>
        </w:rPr>
        <w:t xml:space="preserve">El parámetro 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b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j</m:t>
            </m:r>
          </m:sub>
        </m:sSub>
      </m:oMath>
      <w:r w:rsidDel="00000000" w:rsidR="00000000" w:rsidRPr="00000000">
        <w:rPr>
          <w:rtl w:val="0"/>
        </w:rPr>
        <w:t xml:space="preserve"> se denomina</w:t>
      </w:r>
      <w:r w:rsidDel="00000000" w:rsidR="00000000" w:rsidRPr="00000000">
        <w:rPr>
          <w:b w:val="1"/>
          <w:rtl w:val="0"/>
        </w:rPr>
        <w:t xml:space="preserve"> dificultad del ítem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numPr>
          <w:ilvl w:val="0"/>
          <w:numId w:val="83"/>
        </w:numPr>
        <w:ind w:left="720" w:hanging="480"/>
        <w:rPr/>
      </w:pPr>
      <w:r w:rsidDel="00000000" w:rsidR="00000000" w:rsidRPr="00000000">
        <w:rPr>
          <w:rtl w:val="0"/>
        </w:rPr>
        <w:t xml:space="preserve">Nota que </w:t>
      </w:r>
      <m:oMath>
        <m:r>
          <m:t>θ</m:t>
        </m:r>
        <m:r>
          <w:rPr>
            <w:rFonts w:ascii="Cambria Math" w:cs="Cambria Math" w:eastAsia="Cambria Math" w:hAnsi="Cambria Math"/>
          </w:rPr>
          <m:t xml:space="preserve">=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b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j</m:t>
            </m:r>
          </m:sub>
        </m:sSub>
      </m:oMath>
      <w:r w:rsidDel="00000000" w:rsidR="00000000" w:rsidRPr="00000000">
        <w:rPr>
          <w:rtl w:val="0"/>
        </w:rPr>
        <w:t xml:space="preserve"> implica</w:t>
      </w:r>
    </w:p>
    <w:p w:rsidR="00000000" w:rsidDel="00000000" w:rsidP="00000000" w:rsidRDefault="00000000" w:rsidRPr="00000000" w14:paraId="00000073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P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</m:sSub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b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j</m:t>
                </m:r>
              </m:sub>
            </m:sSub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exp</m:t>
            </m:r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dPr>
              <m:e>
                <m:sSub>
                  <m:sSubPr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a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j</m:t>
                    </m:r>
                  </m:sub>
                </m:sSub>
                <m:d>
                  <m:dPr>
                    <m:begChr m:val="("/>
                    <m:endChr m:val=")"/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</m:ctrlPr>
                  </m:dPr>
                  <m:e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0</m:t>
                    </m:r>
                  </m:e>
                </m:d>
              </m:e>
            </m:d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1+exp</m:t>
            </m:r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dPr>
              <m:e>
                <m:sSub>
                  <m:sSubPr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a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j</m:t>
                    </m:r>
                  </m:sub>
                </m:sSub>
                <m:d>
                  <m:dPr>
                    <m:begChr m:val="("/>
                    <m:endChr m:val=")"/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</m:ctrlPr>
                  </m:dPr>
                  <m:e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0</m:t>
                    </m:r>
                  </m:e>
                </m:d>
              </m:e>
            </m:d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=1/2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numPr>
          <w:ilvl w:val="0"/>
          <w:numId w:val="84"/>
        </w:numPr>
        <w:ind w:left="720" w:hanging="480"/>
        <w:rPr/>
      </w:pPr>
      <w:r w:rsidDel="00000000" w:rsidR="00000000" w:rsidRPr="00000000">
        <w:rPr>
          <w:rtl w:val="0"/>
        </w:rPr>
        <w:t xml:space="preserve">Por lo tanto, la dificultad del ítem es el valor de </w:t>
      </w:r>
      <m:oMath>
        <m:r>
          <m:t>θ</m:t>
        </m:r>
      </m:oMath>
      <w:r w:rsidDel="00000000" w:rsidR="00000000" w:rsidRPr="00000000">
        <w:rPr>
          <w:rtl w:val="0"/>
        </w:rPr>
        <w:t xml:space="preserve"> en el cual la probabilidad de aprobar el ítem es igual a 1/2</w:t>
      </w:r>
    </w:p>
    <w:p w:rsidR="00000000" w:rsidDel="00000000" w:rsidP="00000000" w:rsidRDefault="00000000" w:rsidRPr="00000000" w14:paraId="00000075">
      <w:pPr>
        <w:numPr>
          <w:ilvl w:val="0"/>
          <w:numId w:val="84"/>
        </w:numPr>
        <w:ind w:left="720" w:hanging="480"/>
        <w:rPr/>
      </w:pPr>
      <w:r w:rsidDel="00000000" w:rsidR="00000000" w:rsidRPr="00000000">
        <w:rPr>
          <w:rtl w:val="0"/>
        </w:rPr>
        <w:t xml:space="preserve">Los encuestados con habilidad por encima del nivel de dificultad del ítem tienen una probabilidad &gt; 1/2 de responder correctamente al ítem, y viceversa</w:t>
      </w:r>
    </w:p>
    <w:bookmarkStart w:colFirst="0" w:colLast="0" w:name="bookmark=id.1ci93xb" w:id="23"/>
    <w:bookmarkEnd w:id="23"/>
    <w:p w:rsidR="00000000" w:rsidDel="00000000" w:rsidP="00000000" w:rsidRDefault="00000000" w:rsidRPr="00000000" w14:paraId="00000076">
      <w:pPr>
        <w:pStyle w:val="Heading2"/>
        <w:rPr/>
      </w:pPr>
      <w:r w:rsidDel="00000000" w:rsidR="00000000" w:rsidRPr="00000000">
        <w:rPr>
          <w:rtl w:val="0"/>
        </w:rPr>
        <w:t xml:space="preserve">Interpretación de los parámetros del modelo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1f3f5" w:val="clear"/>
        <w:spacing w:after="20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plot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(twoPL,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type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"trace"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facet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F,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theta_lim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c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-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3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3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lwd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2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panel=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function(...) {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panel.xyplot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(...)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                    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panel.abline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h=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1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2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lty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2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)})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334000" cy="4267200"/>
            <wp:effectExtent b="0" l="0" r="0" t="0"/>
            <wp:docPr id="102442972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26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Dificultad es el nivel del rasgo (</w:t>
      </w:r>
      <m:oMath>
        <m:r>
          <m:t>θ</m:t>
        </m:r>
      </m:oMath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requerido para tener una probabilidad ≥ 1/2 de aprobar el ítem</w:t>
      </w:r>
    </w:p>
    <w:bookmarkStart w:colFirst="0" w:colLast="0" w:name="bookmark=id.3whwml4" w:id="24"/>
    <w:bookmarkEnd w:id="24"/>
    <w:p w:rsidR="00000000" w:rsidDel="00000000" w:rsidP="00000000" w:rsidRDefault="00000000" w:rsidRPr="00000000" w14:paraId="0000007A">
      <w:pPr>
        <w:pStyle w:val="Heading2"/>
        <w:rPr/>
      </w:pPr>
      <w:r w:rsidDel="00000000" w:rsidR="00000000" w:rsidRPr="00000000">
        <w:rPr>
          <w:rtl w:val="0"/>
        </w:rPr>
        <w:t xml:space="preserve">Interpretación de los parámetros del modelo</w:t>
      </w:r>
    </w:p>
    <w:p w:rsidR="00000000" w:rsidDel="00000000" w:rsidP="00000000" w:rsidRDefault="00000000" w:rsidRPr="00000000" w14:paraId="0000007B">
      <w:pPr>
        <w:numPr>
          <w:ilvl w:val="0"/>
          <w:numId w:val="69"/>
        </w:numPr>
        <w:ind w:left="720" w:hanging="480"/>
        <w:rPr/>
      </w:pPr>
      <w:r w:rsidDel="00000000" w:rsidR="00000000" w:rsidRPr="00000000">
        <w:rPr>
          <w:rtl w:val="0"/>
        </w:rPr>
        <w:t xml:space="preserve">El parámetro 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a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j</m:t>
            </m:r>
          </m:sub>
        </m:sSub>
        <m:r>
          <w:rPr>
            <w:rFonts w:ascii="Cambria Math" w:cs="Cambria Math" w:eastAsia="Cambria Math" w:hAnsi="Cambria Math"/>
          </w:rPr>
          <m:t xml:space="preserve">&gt;0</m:t>
        </m:r>
      </m:oMath>
      <w:r w:rsidDel="00000000" w:rsidR="00000000" w:rsidRPr="00000000">
        <w:rPr>
          <w:rtl w:val="0"/>
        </w:rPr>
        <w:t xml:space="preserve"> se llama</w:t>
      </w:r>
      <w:r w:rsidDel="00000000" w:rsidR="00000000" w:rsidRPr="00000000">
        <w:rPr>
          <w:b w:val="1"/>
          <w:rtl w:val="0"/>
        </w:rPr>
        <w:t xml:space="preserve"> discriminación del ítem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numPr>
          <w:ilvl w:val="0"/>
          <w:numId w:val="69"/>
        </w:numPr>
        <w:ind w:left="720" w:hanging="480"/>
        <w:rPr/>
      </w:pPr>
      <w:r w:rsidDel="00000000" w:rsidR="00000000" w:rsidRPr="00000000">
        <w:rPr>
          <w:rtl w:val="0"/>
        </w:rPr>
        <w:t xml:space="preserve">Los ítems con mayor discriminación tienen pendientes más pronunciadas, y relación más fuerte con el rasgo latente:</w:t>
      </w:r>
    </w:p>
    <w:p w:rsidR="00000000" w:rsidDel="00000000" w:rsidP="00000000" w:rsidRDefault="00000000" w:rsidRPr="00000000" w14:paraId="0000007D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f>
          <m:num>
            <m:r>
              <m:t>∂</m:t>
            </m:r>
          </m:num>
          <m:den>
            <m:r>
              <m:t>∂</m:t>
            </m:r>
            <m:r>
              <m:t>θ</m:t>
            </m:r>
          </m:den>
        </m:f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P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</m:sSub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θ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</m:sSub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P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</m:sSub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θ</m:t>
            </m:r>
          </m:e>
        </m:d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Q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</m:sSub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θ</m:t>
            </m:r>
          </m:e>
        </m: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numPr>
          <w:ilvl w:val="0"/>
          <w:numId w:val="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tasa de cambio de la FRI es mayor para los ítems que más discriminan</w:t>
      </w:r>
    </w:p>
    <w:bookmarkStart w:colFirst="0" w:colLast="0" w:name="bookmark=id.2bn6wsx" w:id="25"/>
    <w:bookmarkEnd w:id="25"/>
    <w:p w:rsidR="00000000" w:rsidDel="00000000" w:rsidP="00000000" w:rsidRDefault="00000000" w:rsidRPr="00000000" w14:paraId="0000007F">
      <w:pPr>
        <w:pStyle w:val="Heading2"/>
        <w:rPr/>
      </w:pPr>
      <w:r w:rsidDel="00000000" w:rsidR="00000000" w:rsidRPr="00000000">
        <w:rPr>
          <w:rtl w:val="0"/>
        </w:rPr>
        <w:t xml:space="preserve">Interpretación de los parámetros del modelo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numPr>
          <w:ilvl w:val="0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 nuevamente sustituimos </w:t>
      </w:r>
      <m:oMath>
        <m:r>
          <m:t>θ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b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</m:sSub>
      </m:oMath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tenemos</w:t>
      </w:r>
    </w:p>
    <w:p w:rsidR="00000000" w:rsidDel="00000000" w:rsidP="00000000" w:rsidRDefault="00000000" w:rsidRPr="00000000" w14:paraId="00000081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f>
          <m:num>
            <m:r>
              <m:t>∂</m:t>
            </m:r>
          </m:num>
          <m:den>
            <m:r>
              <m:t>∂</m:t>
            </m:r>
            <m:r>
              <m:t>θ</m:t>
            </m:r>
          </m:den>
        </m:f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P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</m:sSub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b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j</m:t>
                </m:r>
              </m:sub>
            </m:sSub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/4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Para valores "cercanos a" el parámetro de dificultad, el parámetro de discriminación es proporcional a la pendiente</w:t>
      </w:r>
    </w:p>
    <w:bookmarkStart w:colFirst="0" w:colLast="0" w:name="bookmark=id.qsh70q" w:id="26"/>
    <w:bookmarkEnd w:id="26"/>
    <w:p w:rsidR="00000000" w:rsidDel="00000000" w:rsidP="00000000" w:rsidRDefault="00000000" w:rsidRPr="00000000" w14:paraId="00000083">
      <w:pPr>
        <w:pStyle w:val="Heading2"/>
        <w:rPr/>
      </w:pPr>
      <w:r w:rsidDel="00000000" w:rsidR="00000000" w:rsidRPr="00000000">
        <w:rPr>
          <w:rtl w:val="0"/>
        </w:rPr>
        <w:t xml:space="preserve">Interpretación de los parámetros del modelo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1f3f5" w:val="clear"/>
        <w:spacing w:after="20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plot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(twoPL,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type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"trace"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facet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F,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theta_lim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c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-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3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3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lwd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2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panel=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function(...) {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panel.xyplot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(...)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                    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panel.abline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h=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1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2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lty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2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)})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334000" cy="4267200"/>
            <wp:effectExtent b="0" l="0" r="0" t="0"/>
            <wp:docPr id="102442972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26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Discriminación es (proporcional a) la pendiente de la curva donde se intersecta con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P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θ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=1/2</m:t>
        </m:r>
      </m:oMath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bookmarkStart w:colFirst="0" w:colLast="0" w:name="bookmark=id.3as4poj" w:id="27"/>
    <w:bookmarkEnd w:id="27"/>
    <w:p w:rsidR="00000000" w:rsidDel="00000000" w:rsidP="00000000" w:rsidRDefault="00000000" w:rsidRPr="00000000" w14:paraId="00000087">
      <w:pPr>
        <w:pStyle w:val="Heading2"/>
        <w:rPr/>
      </w:pPr>
      <w:r w:rsidDel="00000000" w:rsidR="00000000" w:rsidRPr="00000000">
        <w:rPr>
          <w:rtl w:val="0"/>
        </w:rPr>
        <w:t xml:space="preserve">Resumen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 modelo TRI de 2PL: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numPr>
          <w:ilvl w:val="1"/>
          <w:numId w:val="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 utiliza para modelar la probabilidad de aprobar un ítem binario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numPr>
          <w:ilvl w:val="1"/>
          <w:numId w:val="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 parámetro de dificultad describe el nivel del constructo objetivo en el cual la probabilidad de aprobación = 1/2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numPr>
          <w:ilvl w:val="1"/>
          <w:numId w:val="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 parámetro de discriminación describe cuán fuertemente cada ítem está relacionado con el constructo objetivo</w:t>
      </w:r>
    </w:p>
    <w:bookmarkStart w:colFirst="0" w:colLast="0" w:name="bookmark=id.1pxezwc" w:id="28"/>
    <w:bookmarkEnd w:id="28"/>
    <w:p w:rsidR="00000000" w:rsidDel="00000000" w:rsidP="00000000" w:rsidRDefault="00000000" w:rsidRPr="00000000" w14:paraId="0000008C">
      <w:pPr>
        <w:pStyle w:val="Heading1"/>
        <w:rPr/>
      </w:pPr>
      <w:r w:rsidDel="00000000" w:rsidR="00000000" w:rsidRPr="00000000">
        <w:rPr>
          <w:rtl w:val="0"/>
        </w:rPr>
        <w:t xml:space="preserve">Otros Conceptos de TRI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numPr>
          <w:ilvl w:val="0"/>
          <w:numId w:val="10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 requeridos para el análisis de FDI, pero relevantes para entender la teoría</w:t>
      </w:r>
    </w:p>
    <w:bookmarkStart w:colFirst="0" w:colLast="0" w:name="bookmark=id.49x2ik5" w:id="29"/>
    <w:bookmarkEnd w:id="29"/>
    <w:p w:rsidR="00000000" w:rsidDel="00000000" w:rsidP="00000000" w:rsidRDefault="00000000" w:rsidRPr="00000000" w14:paraId="0000008E">
      <w:pPr>
        <w:pStyle w:val="Heading2"/>
        <w:rPr/>
      </w:pPr>
      <w:r w:rsidDel="00000000" w:rsidR="00000000" w:rsidRPr="00000000">
        <w:rPr>
          <w:rtl w:val="0"/>
        </w:rPr>
        <w:t xml:space="preserve">Información en TRI</w:t>
      </w:r>
    </w:p>
    <w:p w:rsidR="00000000" w:rsidDel="00000000" w:rsidP="00000000" w:rsidRDefault="00000000" w:rsidRPr="00000000" w14:paraId="0000008F">
      <w:pPr>
        <w:numPr>
          <w:ilvl w:val="0"/>
          <w:numId w:val="105"/>
        </w:numPr>
        <w:ind w:left="720" w:hanging="480"/>
        <w:rPr/>
      </w:pPr>
      <w:r w:rsidDel="00000000" w:rsidR="00000000" w:rsidRPr="00000000">
        <w:rPr>
          <w:rtl w:val="0"/>
        </w:rPr>
        <w:t xml:space="preserve">Deje que </w:t>
      </w:r>
      <m:oMath>
        <m:acc>
          <m:accPr>
            <m:chr m:val="̂"/>
          </m:accPr>
          <m:e>
            <m:r>
              <m:t>θ</m:t>
            </m:r>
          </m:e>
        </m:acc>
      </m:oMath>
      <w:r w:rsidDel="00000000" w:rsidR="00000000" w:rsidRPr="00000000">
        <w:rPr>
          <w:rtl w:val="0"/>
        </w:rPr>
        <w:t xml:space="preserve"> denote la estimación de máxima verosimilitud (EMV) de  </w:t>
      </w:r>
      <m:oMath>
        <m:r>
          <m:t>θ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numPr>
          <w:ilvl w:val="0"/>
          <w:numId w:val="105"/>
        </w:numPr>
        <w:ind w:left="720" w:hanging="480"/>
        <w:rPr/>
      </w:pPr>
      <w:r w:rsidDel="00000000" w:rsidR="00000000" w:rsidRPr="00000000">
        <w:rPr>
          <w:rtl w:val="0"/>
        </w:rPr>
        <w:t xml:space="preserve">En términos prácticos, </w:t>
      </w:r>
      <m:oMath>
        <m:acc>
          <m:accPr>
            <m:chr m:val="̂"/>
          </m:accPr>
          <m:e>
            <m:r>
              <m:t>θ</m:t>
            </m:r>
          </m:e>
        </m:acc>
      </m:oMath>
      <w:r w:rsidDel="00000000" w:rsidR="00000000" w:rsidRPr="00000000">
        <w:rPr>
          <w:rtl w:val="0"/>
        </w:rPr>
        <w:t xml:space="preserve"> es la "mejor" estimación del rasgo que podemos obtener de una evaluación</w:t>
      </w:r>
    </w:p>
    <w:p w:rsidR="00000000" w:rsidDel="00000000" w:rsidP="00000000" w:rsidRDefault="00000000" w:rsidRPr="00000000" w14:paraId="00000091">
      <w:pPr>
        <w:numPr>
          <w:ilvl w:val="0"/>
          <w:numId w:val="105"/>
        </w:numPr>
        <w:ind w:left="720" w:hanging="480"/>
        <w:rPr/>
      </w:pPr>
      <w:r w:rsidDel="00000000" w:rsidR="00000000" w:rsidRPr="00000000">
        <w:rPr>
          <w:rtl w:val="0"/>
        </w:rPr>
        <w:t xml:space="preserve">El error estándar de la EMV, </w:t>
      </w:r>
      <m:oMath>
        <m:r>
          <w:rPr>
            <w:rFonts w:ascii="Cambria Math" w:cs="Cambria Math" w:eastAsia="Cambria Math" w:hAnsi="Cambria Math"/>
          </w:rPr>
          <m:t xml:space="preserve">SE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</w:rPr>
            </m:ctrlPr>
          </m:dPr>
          <m:e>
            <m:r>
              <w:rPr>
                <w:rFonts w:ascii="Cambria Math" w:cs="Cambria Math" w:eastAsia="Cambria Math" w:hAnsi="Cambria Math"/>
              </w:rPr>
              <m:t>θ</m:t>
            </m:r>
          </m:e>
        </m:d>
      </m:oMath>
      <w:r w:rsidDel="00000000" w:rsidR="00000000" w:rsidRPr="00000000">
        <w:rPr>
          <w:rtl w:val="0"/>
        </w:rPr>
        <w:t xml:space="preserve"> describe con qué precisión podemos estimar </w:t>
      </w:r>
      <m:oMath>
        <m:r>
          <m:t>θ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numPr>
          <w:ilvl w:val="0"/>
          <w:numId w:val="105"/>
        </w:numPr>
        <w:ind w:left="720" w:hanging="480"/>
        <w:rPr/>
      </w:pPr>
      <w:r w:rsidDel="00000000" w:rsidR="00000000" w:rsidRPr="00000000">
        <w:rPr>
          <w:i w:val="1"/>
          <w:rtl w:val="0"/>
        </w:rPr>
        <w:t xml:space="preserve">Información</w:t>
      </w:r>
      <w:r w:rsidDel="00000000" w:rsidR="00000000" w:rsidRPr="00000000">
        <w:rPr>
          <w:rtl w:val="0"/>
        </w:rPr>
        <w:t xml:space="preserve"> definida como la precisión de la EMV, </w:t>
      </w:r>
      <m:oMath>
        <m:r>
          <w:rPr>
            <w:rFonts w:ascii="Cambria Math" w:cs="Cambria Math" w:eastAsia="Cambria Math" w:hAnsi="Cambria Math"/>
          </w:rPr>
          <m:t xml:space="preserve">1/SE</m:t>
        </m:r>
        <m:sSup>
          <m:sSupPr>
            <m:ctrlPr>
              <w:rPr>
                <w:rFonts w:ascii="Cambria Math" w:cs="Cambria Math" w:eastAsia="Cambria Math" w:hAnsi="Cambria Math"/>
              </w:rPr>
            </m:ctrlPr>
          </m:sSupPr>
          <m:e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</w:rPr>
                </m:ctrlPr>
              </m:dPr>
              <m:e>
                <m:r>
                  <w:rPr>
                    <w:rFonts w:ascii="Cambria Math" w:cs="Cambria Math" w:eastAsia="Cambria Math" w:hAnsi="Cambria Math"/>
                  </w:rPr>
                  <m:t>θ</m:t>
                </m:r>
              </m:e>
            </m:d>
          </m:e>
          <m:sup>
            <m:r>
              <w:rPr>
                <w:rFonts w:ascii="Cambria Math" w:cs="Cambria Math" w:eastAsia="Cambria Math" w:hAnsi="Cambria Math"/>
              </w:rPr>
              <m:t xml:space="preserve">2</m:t>
            </m:r>
          </m:sup>
        </m:sSup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numPr>
          <w:ilvl w:val="1"/>
          <w:numId w:val="9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 es fácil de interpretar, pero valores más grandes significan estimaciones más precisas</w:t>
      </w:r>
    </w:p>
    <w:bookmarkStart w:colFirst="0" w:colLast="0" w:name="bookmark=id.2p2csry" w:id="30"/>
    <w:bookmarkEnd w:id="30"/>
    <w:p w:rsidR="00000000" w:rsidDel="00000000" w:rsidP="00000000" w:rsidRDefault="00000000" w:rsidRPr="00000000" w14:paraId="00000094">
      <w:pPr>
        <w:pStyle w:val="Heading2"/>
        <w:rPr/>
      </w:pPr>
      <w:r w:rsidDel="00000000" w:rsidR="00000000" w:rsidRPr="00000000">
        <w:rPr>
          <w:rtl w:val="0"/>
        </w:rPr>
        <w:t xml:space="preserve">Información en TRI</w:t>
      </w:r>
    </w:p>
    <w:p w:rsidR="00000000" w:rsidDel="00000000" w:rsidP="00000000" w:rsidRDefault="00000000" w:rsidRPr="00000000" w14:paraId="00000095">
      <w:pPr>
        <w:numPr>
          <w:ilvl w:val="0"/>
          <w:numId w:val="88"/>
        </w:numPr>
        <w:ind w:left="720" w:hanging="480"/>
        <w:rPr/>
      </w:pPr>
      <w:r w:rsidDel="00000000" w:rsidR="00000000" w:rsidRPr="00000000">
        <w:rPr>
          <w:rtl w:val="0"/>
        </w:rPr>
        <w:t xml:space="preserve">Una de las principales contribuciones de TRI es modelar cómo la información depende de los parámetros de los ítems de la prueba</w:t>
      </w:r>
    </w:p>
    <w:p w:rsidR="00000000" w:rsidDel="00000000" w:rsidP="00000000" w:rsidRDefault="00000000" w:rsidRPr="00000000" w14:paraId="00000096">
      <w:pPr>
        <w:numPr>
          <w:ilvl w:val="0"/>
          <w:numId w:val="88"/>
        </w:numPr>
        <w:ind w:left="720" w:hanging="480"/>
        <w:rPr/>
      </w:pPr>
      <w:r w:rsidDel="00000000" w:rsidR="00000000" w:rsidRPr="00000000">
        <w:rPr>
          <w:rtl w:val="0"/>
        </w:rPr>
        <w:t xml:space="preserve">¡Esto proporciona una buena teoría para el desarrollo de pruebas! Nos dice cómo construir pruebas con un nivel deseado de precisión / información</w:t>
      </w:r>
    </w:p>
    <w:p w:rsidR="00000000" w:rsidDel="00000000" w:rsidP="00000000" w:rsidRDefault="00000000" w:rsidRPr="00000000" w14:paraId="00000097">
      <w:pPr>
        <w:numPr>
          <w:ilvl w:val="0"/>
          <w:numId w:val="88"/>
        </w:numPr>
        <w:ind w:left="720" w:hanging="480"/>
        <w:rPr/>
      </w:pPr>
      <w:r w:rsidDel="00000000" w:rsidR="00000000" w:rsidRPr="00000000">
        <w:rPr>
          <w:rtl w:val="0"/>
        </w:rPr>
        <w:t xml:space="preserve">Abordamos la información aquí por completitud, pero no es requerida para el análisis de FDI</w:t>
      </w:r>
    </w:p>
    <w:bookmarkStart w:colFirst="0" w:colLast="0" w:name="bookmark=id.147n2zr" w:id="31"/>
    <w:bookmarkEnd w:id="31"/>
    <w:p w:rsidR="00000000" w:rsidDel="00000000" w:rsidP="00000000" w:rsidRDefault="00000000" w:rsidRPr="00000000" w14:paraId="00000098">
      <w:pPr>
        <w:pStyle w:val="Heading2"/>
        <w:rPr/>
      </w:pPr>
      <w:r w:rsidDel="00000000" w:rsidR="00000000" w:rsidRPr="00000000">
        <w:rPr>
          <w:rtl w:val="0"/>
        </w:rPr>
        <w:t xml:space="preserve">Función de Información del Ítem (FII)</w:t>
      </w:r>
    </w:p>
    <w:p w:rsidR="00000000" w:rsidDel="00000000" w:rsidP="00000000" w:rsidRDefault="00000000" w:rsidRPr="00000000" w14:paraId="00000099">
      <w:pPr>
        <w:numPr>
          <w:ilvl w:val="0"/>
          <w:numId w:val="89"/>
        </w:numPr>
        <w:ind w:left="720" w:hanging="480"/>
        <w:rPr/>
      </w:pPr>
      <w:r w:rsidDel="00000000" w:rsidR="00000000" w:rsidRPr="00000000">
        <w:rPr>
          <w:rtl w:val="0"/>
        </w:rPr>
        <w:t xml:space="preserve">La función de información del ítem (FII) es la precisión que resulta al estimar el rasgo latente usando un solo ítem</w:t>
      </w:r>
    </w:p>
    <w:p w:rsidR="00000000" w:rsidDel="00000000" w:rsidP="00000000" w:rsidRDefault="00000000" w:rsidRPr="00000000" w14:paraId="0000009A">
      <w:pPr>
        <w:numPr>
          <w:ilvl w:val="0"/>
          <w:numId w:val="89"/>
        </w:numPr>
        <w:ind w:left="720" w:hanging="480"/>
        <w:rPr/>
      </w:pPr>
      <w:r w:rsidDel="00000000" w:rsidR="00000000" w:rsidRPr="00000000">
        <w:rPr>
          <w:rtl w:val="0"/>
        </w:rPr>
        <w:t xml:space="preserve">En la práctica, nunca usaríamos solo un ítem en una prueba</w:t>
      </w:r>
    </w:p>
    <w:p w:rsidR="00000000" w:rsidDel="00000000" w:rsidP="00000000" w:rsidRDefault="00000000" w:rsidRPr="00000000" w14:paraId="0000009B">
      <w:pPr>
        <w:numPr>
          <w:ilvl w:val="0"/>
          <w:numId w:val="89"/>
        </w:numPr>
        <w:ind w:left="720" w:hanging="480"/>
        <w:rPr/>
      </w:pPr>
      <w:r w:rsidDel="00000000" w:rsidR="00000000" w:rsidRPr="00000000">
        <w:rPr>
          <w:rtl w:val="0"/>
        </w:rPr>
        <w:t xml:space="preserve">Pero, podemos construir la función de información de toda la prueba a partir de la de cada ítem individual</w:t>
      </w:r>
    </w:p>
    <w:p w:rsidR="00000000" w:rsidDel="00000000" w:rsidP="00000000" w:rsidRDefault="00000000" w:rsidRPr="00000000" w14:paraId="0000009C">
      <w:pPr>
        <w:numPr>
          <w:ilvl w:val="0"/>
          <w:numId w:val="89"/>
        </w:numPr>
        <w:ind w:left="720" w:hanging="480"/>
        <w:rPr/>
      </w:pPr>
      <w:r w:rsidDel="00000000" w:rsidR="00000000" w:rsidRPr="00000000">
        <w:rPr>
          <w:rtl w:val="0"/>
        </w:rPr>
        <w:t xml:space="preserve">Por lo tanto, comenzamos con la FII y luego usamos eso para obtener la función de información de la prueba (FIP)</w:t>
      </w:r>
    </w:p>
    <w:bookmarkStart w:colFirst="0" w:colLast="0" w:name="bookmark=id.3o7alnk" w:id="32"/>
    <w:bookmarkEnd w:id="32"/>
    <w:p w:rsidR="00000000" w:rsidDel="00000000" w:rsidP="00000000" w:rsidRDefault="00000000" w:rsidRPr="00000000" w14:paraId="0000009D">
      <w:pPr>
        <w:pStyle w:val="Heading2"/>
        <w:rPr/>
      </w:pPr>
      <w:r w:rsidDel="00000000" w:rsidR="00000000" w:rsidRPr="00000000">
        <w:rPr>
          <w:rtl w:val="0"/>
        </w:rPr>
        <w:t xml:space="preserve">Función de Información del Ítem (FII)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Para el 2PL, la FII es: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numPr>
          <w:ilvl w:val="0"/>
          <w:numId w:val="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información aumenta con </w:t>
      </w: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</m:sSub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numPr>
          <w:ilvl w:val="1"/>
          <w:numId w:val="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Los ítems que están más fuertemente relacionados con el rasgo latente (que más discriminan) proporcionan más información sobre el rasgo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numPr>
          <w:ilvl w:val="0"/>
          <w:numId w:val="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 máximo de la FII para cada ítem ocurre cuando </w:t>
      </w:r>
      <m:oMath>
        <m:r>
          <m:t>θ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b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</m:sSub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numPr>
          <w:ilvl w:val="1"/>
          <w:numId w:val="9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Cada ítem proporciona la mayor información en su nivel de dificultad</w:t>
      </w:r>
    </w:p>
    <w:bookmarkStart w:colFirst="0" w:colLast="0" w:name="bookmark=id.23ckvvd" w:id="33"/>
    <w:bookmarkEnd w:id="33"/>
    <w:p w:rsidR="00000000" w:rsidDel="00000000" w:rsidP="00000000" w:rsidRDefault="00000000" w:rsidRPr="00000000" w14:paraId="000000A4">
      <w:pPr>
        <w:pStyle w:val="Heading2"/>
        <w:rPr/>
      </w:pPr>
      <w:r w:rsidDel="00000000" w:rsidR="00000000" w:rsidRPr="00000000">
        <w:rPr>
          <w:rtl w:val="0"/>
        </w:rPr>
        <w:t xml:space="preserve">FIIs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1f3f5" w:val="clear"/>
        <w:spacing w:after="20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plot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(twoPL,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type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"infotrace"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facet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F,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theta_lim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c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-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3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3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lwd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2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334000" cy="4267200"/>
            <wp:effectExtent b="0" l="0" r="0" t="0"/>
            <wp:docPr id="102442972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26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ubicación del pico es </w:t>
      </w: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b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</m:sSub>
      </m:oMath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la altura del pico es </w:t>
      </w:r>
      <m:oMath>
        <m:sSubSup>
          <m:sSub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b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/4</m:t>
        </m:r>
      </m:oMath>
      <w:r w:rsidDel="00000000" w:rsidR="00000000" w:rsidRPr="00000000">
        <w:rPr>
          <w:rtl w:val="0"/>
        </w:rPr>
      </w:r>
    </w:p>
    <w:bookmarkStart w:colFirst="0" w:colLast="0" w:name="bookmark=id.ihv636" w:id="34"/>
    <w:bookmarkEnd w:id="34"/>
    <w:p w:rsidR="00000000" w:rsidDel="00000000" w:rsidP="00000000" w:rsidRDefault="00000000" w:rsidRPr="00000000" w14:paraId="000000A8">
      <w:pPr>
        <w:pStyle w:val="Heading2"/>
        <w:rPr/>
      </w:pPr>
      <w:r w:rsidDel="00000000" w:rsidR="00000000" w:rsidRPr="00000000">
        <w:rPr>
          <w:rtl w:val="0"/>
        </w:rPr>
        <w:t xml:space="preserve">Función de Información de la Prueba (FIP)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FIP se obtiene sumando las funciones de información de todos los ítems de una prueba</w:t>
      </w:r>
    </w:p>
    <w:p w:rsidR="00000000" w:rsidDel="00000000" w:rsidP="00000000" w:rsidRDefault="00000000" w:rsidRPr="00000000" w14:paraId="000000AA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I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θ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nary>
          <m:naryPr>
            <m:chr m:val="∑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naryPr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j=1</m:t>
            </m:r>
          </m:sub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p>
        </m:nary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I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</m:sSub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θ</m:t>
            </m:r>
          </m:e>
        </m: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numPr>
          <w:ilvl w:val="0"/>
          <w:numId w:val="9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Este resultado se sigue directamente del supuesto de independencia condicional</w:t>
      </w:r>
    </w:p>
    <w:bookmarkStart w:colFirst="0" w:colLast="0" w:name="bookmark=id.32hioqz" w:id="35"/>
    <w:bookmarkEnd w:id="35"/>
    <w:p w:rsidR="00000000" w:rsidDel="00000000" w:rsidP="00000000" w:rsidRDefault="00000000" w:rsidRPr="00000000" w14:paraId="000000AC">
      <w:pPr>
        <w:pStyle w:val="Heading2"/>
        <w:rPr/>
      </w:pPr>
      <w:r w:rsidDel="00000000" w:rsidR="00000000" w:rsidRPr="00000000">
        <w:rPr>
          <w:rtl w:val="0"/>
        </w:rPr>
        <w:t xml:space="preserve">FIP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1f3f5" w:val="clear"/>
        <w:spacing w:after="20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plot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(twoPL,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type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"info"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theta_lim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c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-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3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3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lwd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2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334000" cy="4267200"/>
            <wp:effectExtent b="0" l="0" r="0" t="0"/>
            <wp:docPr id="102442972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26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numPr>
          <w:ilvl w:val="0"/>
          <w:numId w:val="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Útil para comparar diferentes pruebas, pero los valores no se interpretan fácilmente…</w:t>
      </w:r>
    </w:p>
    <w:bookmarkStart w:colFirst="0" w:colLast="0" w:name="bookmark=id.1hmsyys" w:id="36"/>
    <w:bookmarkEnd w:id="36"/>
    <w:p w:rsidR="00000000" w:rsidDel="00000000" w:rsidP="00000000" w:rsidRDefault="00000000" w:rsidRPr="00000000" w14:paraId="000000B0">
      <w:pPr>
        <w:pStyle w:val="Heading2"/>
        <w:rPr/>
      </w:pPr>
      <w:r w:rsidDel="00000000" w:rsidR="00000000" w:rsidRPr="00000000">
        <w:rPr>
          <w:rtl w:val="0"/>
        </w:rPr>
        <w:t xml:space="preserve">Confiabilidad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numPr>
          <w:ilvl w:val="0"/>
          <w:numId w:val="1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FIP se puede convertir en una función de confiabilidad para la puntuación total (vea Nicewander, 2018):</w:t>
      </w:r>
    </w:p>
    <w:p w:rsidR="00000000" w:rsidDel="00000000" w:rsidP="00000000" w:rsidRDefault="00000000" w:rsidRPr="00000000" w14:paraId="000000B2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R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θ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I</m:t>
            </m:r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>θ</m:t>
                </m:r>
              </m:e>
            </m:d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1+I</m:t>
            </m:r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>θ</m:t>
                </m:r>
              </m:e>
            </m:d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numPr>
          <w:ilvl w:val="0"/>
          <w:numId w:val="1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Promediando esta función sobre los valores de </w:t>
      </w:r>
      <m:oMath>
        <m:r>
          <m:t>θ</m:t>
        </m:r>
      </m:oMath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proporciona un coeficiente de confiabilidad "marginal"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numPr>
          <w:ilvl w:val="1"/>
          <w:numId w:val="1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Interpretado como la proporción de variabilidad en la puntuación total que está asociada con el rasgo (como el alfa de Cronbach)</w:t>
      </w:r>
    </w:p>
    <w:bookmarkStart w:colFirst="0" w:colLast="0" w:name="bookmark=id.41mghml" w:id="37"/>
    <w:bookmarkEnd w:id="37"/>
    <w:p w:rsidR="00000000" w:rsidDel="00000000" w:rsidP="00000000" w:rsidRDefault="00000000" w:rsidRPr="00000000" w14:paraId="000000B5">
      <w:pPr>
        <w:pStyle w:val="Heading2"/>
        <w:rPr/>
      </w:pPr>
      <w:r w:rsidDel="00000000" w:rsidR="00000000" w:rsidRPr="00000000">
        <w:rPr>
          <w:rtl w:val="0"/>
        </w:rPr>
        <w:t xml:space="preserve">Confiabilidad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1f3f5" w:val="clear"/>
        <w:spacing w:after="20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plot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(twoPL,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type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"rxx"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theta_lim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c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-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3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3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lwd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2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334000" cy="4267200"/>
            <wp:effectExtent b="0" l="0" r="0" t="0"/>
            <wp:docPr id="102442972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26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Confiabilidad marginal de la puntuación total: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1f3f5" w:val="clear"/>
        <w:spacing w:after="20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marginal_rxx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(twoPL)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1f3f5" w:val="clear"/>
        <w:spacing w:after="20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[1] 0.8148199</w:t>
      </w:r>
      <w:r w:rsidDel="00000000" w:rsidR="00000000" w:rsidRPr="00000000">
        <w:rPr>
          <w:rtl w:val="0"/>
        </w:rPr>
      </w:r>
    </w:p>
    <w:bookmarkStart w:colFirst="0" w:colLast="0" w:name="bookmark=id.2grqrue" w:id="38"/>
    <w:bookmarkEnd w:id="38"/>
    <w:p w:rsidR="00000000" w:rsidDel="00000000" w:rsidP="00000000" w:rsidRDefault="00000000" w:rsidRPr="00000000" w14:paraId="000000BB">
      <w:pPr>
        <w:pStyle w:val="Heading2"/>
        <w:rPr/>
      </w:pPr>
      <w:r w:rsidDel="00000000" w:rsidR="00000000" w:rsidRPr="00000000">
        <w:rPr>
          <w:rtl w:val="0"/>
        </w:rPr>
        <w:t xml:space="preserve">Resumen</w:t>
      </w:r>
    </w:p>
    <w:p w:rsidR="00000000" w:rsidDel="00000000" w:rsidP="00000000" w:rsidRDefault="00000000" w:rsidRPr="00000000" w14:paraId="000000BC">
      <w:pPr>
        <w:numPr>
          <w:ilvl w:val="0"/>
          <w:numId w:val="109"/>
        </w:numPr>
        <w:ind w:left="720" w:hanging="480"/>
        <w:rPr/>
      </w:pPr>
      <w:r w:rsidDel="00000000" w:rsidR="00000000" w:rsidRPr="00000000">
        <w:rPr>
          <w:rtl w:val="0"/>
        </w:rPr>
        <w:t xml:space="preserve">Un concepto central en TRI es la información (de Fisher), que es la precisión con la que se puede estimar el constructo objetivo</w:t>
      </w:r>
    </w:p>
    <w:p w:rsidR="00000000" w:rsidDel="00000000" w:rsidP="00000000" w:rsidRDefault="00000000" w:rsidRPr="00000000" w14:paraId="000000BD">
      <w:pPr>
        <w:numPr>
          <w:ilvl w:val="0"/>
          <w:numId w:val="109"/>
        </w:numPr>
        <w:ind w:left="720" w:hanging="480"/>
        <w:rPr/>
      </w:pPr>
      <w:r w:rsidDel="00000000" w:rsidR="00000000" w:rsidRPr="00000000">
        <w:rPr>
          <w:rtl w:val="0"/>
        </w:rPr>
        <w:t xml:space="preserve">Las funciones de información de los ítems describen la información proporcionada por cada ítem </w:t>
      </w:r>
    </w:p>
    <w:p w:rsidR="00000000" w:rsidDel="00000000" w:rsidP="00000000" w:rsidRDefault="00000000" w:rsidRPr="00000000" w14:paraId="000000BE">
      <w:pPr>
        <w:numPr>
          <w:ilvl w:val="0"/>
          <w:numId w:val="109"/>
        </w:numPr>
        <w:ind w:left="720" w:hanging="480"/>
        <w:rPr/>
      </w:pPr>
      <w:r w:rsidDel="00000000" w:rsidR="00000000" w:rsidRPr="00000000">
        <w:rPr>
          <w:rtl w:val="0"/>
        </w:rPr>
        <w:t xml:space="preserve">La información de la prueba es la suma de la información de los ítems</w:t>
      </w:r>
    </w:p>
    <w:p w:rsidR="00000000" w:rsidDel="00000000" w:rsidP="00000000" w:rsidRDefault="00000000" w:rsidRPr="00000000" w14:paraId="000000BF">
      <w:pPr>
        <w:numPr>
          <w:ilvl w:val="0"/>
          <w:numId w:val="109"/>
        </w:numPr>
        <w:ind w:left="720" w:hanging="480"/>
        <w:rPr/>
      </w:pPr>
      <w:r w:rsidDel="00000000" w:rsidR="00000000" w:rsidRPr="00000000">
        <w:rPr>
          <w:rtl w:val="0"/>
        </w:rPr>
        <w:t xml:space="preserve">La confiabilidad de la puntuación total se puede derivar de la información de la prueba </w:t>
      </w:r>
    </w:p>
    <w:p w:rsidR="00000000" w:rsidDel="00000000" w:rsidP="00000000" w:rsidRDefault="00000000" w:rsidRPr="00000000" w14:paraId="000000C0">
      <w:pPr>
        <w:numPr>
          <w:ilvl w:val="0"/>
          <w:numId w:val="109"/>
        </w:numPr>
        <w:ind w:left="720" w:hanging="480"/>
        <w:rPr/>
      </w:pPr>
      <w:r w:rsidDel="00000000" w:rsidR="00000000" w:rsidRPr="00000000">
        <w:rPr>
          <w:rtl w:val="0"/>
        </w:rPr>
        <w:t xml:space="preserve">La información es útil para comparar diferentes ítems / pruebas, pero la confiabilidad es más fácil de interpretar</w:t>
      </w:r>
    </w:p>
    <w:bookmarkStart w:colFirst="0" w:colLast="0" w:name="bookmark=id.vx1227" w:id="39"/>
    <w:bookmarkEnd w:id="39"/>
    <w:p w:rsidR="00000000" w:rsidDel="00000000" w:rsidP="00000000" w:rsidRDefault="00000000" w:rsidRPr="00000000" w14:paraId="000000C1">
      <w:pPr>
        <w:pStyle w:val="Heading1"/>
        <w:rPr/>
      </w:pPr>
      <w:r w:rsidDel="00000000" w:rsidR="00000000" w:rsidRPr="00000000">
        <w:rPr>
          <w:rtl w:val="0"/>
        </w:rPr>
        <w:t xml:space="preserve">El Modelo de Respuesta Graduada (MRG)</w:t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334000" cy="4267200"/>
            <wp:effectExtent b="0" l="0" r="0" t="0"/>
            <wp:docPr id="1024429728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26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bookmarkStart w:colFirst="0" w:colLast="0" w:name="bookmark=id.3fwokq0" w:id="40"/>
    <w:bookmarkEnd w:id="40"/>
    <w:p w:rsidR="00000000" w:rsidDel="00000000" w:rsidP="00000000" w:rsidRDefault="00000000" w:rsidRPr="00000000" w14:paraId="000000C3">
      <w:pPr>
        <w:pStyle w:val="Heading2"/>
        <w:rPr/>
      </w:pPr>
      <w:r w:rsidDel="00000000" w:rsidR="00000000" w:rsidRPr="00000000">
        <w:rPr>
          <w:rtl w:val="0"/>
        </w:rPr>
        <w:t xml:space="preserve">Datos categóricos ordenados</w:t>
      </w:r>
    </w:p>
    <w:p w:rsidR="00000000" w:rsidDel="00000000" w:rsidP="00000000" w:rsidRDefault="00000000" w:rsidRPr="00000000" w14:paraId="000000C4">
      <w:pPr>
        <w:numPr>
          <w:ilvl w:val="0"/>
          <w:numId w:val="110"/>
        </w:numPr>
        <w:ind w:left="720" w:hanging="480"/>
        <w:rPr/>
      </w:pPr>
      <w:r w:rsidDel="00000000" w:rsidR="00000000" w:rsidRPr="00000000">
        <w:rPr>
          <w:rtl w:val="0"/>
        </w:rPr>
        <w:t xml:space="preserve">Permita que la respuesta del ítem 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X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j</m:t>
            </m:r>
          </m:sub>
        </m:sSub>
      </m:oMath>
      <w:r w:rsidDel="00000000" w:rsidR="00000000" w:rsidRPr="00000000">
        <w:rPr>
          <w:rtl w:val="0"/>
        </w:rPr>
        <w:t xml:space="preserve"> tome valores </w:t>
      </w:r>
      <m:oMath>
        <m:r>
          <w:rPr>
            <w:rFonts w:ascii="Cambria Math" w:cs="Cambria Math" w:eastAsia="Cambria Math" w:hAnsi="Cambria Math"/>
          </w:rPr>
          <m:t xml:space="preserve">c</m:t>
        </m:r>
        <m:r>
          <w:rPr>
            <w:rFonts w:ascii="Cambria Math" w:cs="Cambria Math" w:eastAsia="Cambria Math" w:hAnsi="Cambria Math"/>
          </w:rPr>
          <m:t>∈</m:t>
        </m:r>
        <m:r>
          <w:rPr>
            <w:rFonts w:ascii="Cambria Math" w:cs="Cambria Math" w:eastAsia="Cambria Math" w:hAnsi="Cambria Math"/>
          </w:rPr>
          <m:t xml:space="preserve">1,…C</m:t>
        </m:r>
      </m:oMath>
      <w:r w:rsidDel="00000000" w:rsidR="00000000" w:rsidRPr="00000000">
        <w:rPr>
          <w:rtl w:val="0"/>
        </w:rPr>
        <w:t xml:space="preserve">, donde </w:t>
      </w:r>
      <m:oMath>
        <m:r>
          <w:rPr>
            <w:rFonts w:ascii="Cambria Math" w:cs="Cambria Math" w:eastAsia="Cambria Math" w:hAnsi="Cambria Math"/>
          </w:rPr>
          <m:t xml:space="preserve">C</m:t>
        </m:r>
      </m:oMath>
      <w:r w:rsidDel="00000000" w:rsidR="00000000" w:rsidRPr="00000000">
        <w:rPr>
          <w:rtl w:val="0"/>
        </w:rPr>
        <w:t xml:space="preserve"> el número de categorías para el ítem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numPr>
          <w:ilvl w:val="1"/>
          <w:numId w:val="1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p. ej., si un ítem tiene 4 posibles categorías de respuesta,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C=4</m:t>
        </m:r>
      </m:oMath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y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c=1,…4</m:t>
        </m:r>
      </m:oMath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son las 4 categorías de respuesta</w:t>
      </w:r>
    </w:p>
    <w:p w:rsidR="00000000" w:rsidDel="00000000" w:rsidP="00000000" w:rsidRDefault="00000000" w:rsidRPr="00000000" w14:paraId="000000C6">
      <w:pPr>
        <w:numPr>
          <w:ilvl w:val="0"/>
          <w:numId w:val="110"/>
        </w:numPr>
        <w:ind w:left="720" w:hanging="480"/>
        <w:rPr/>
      </w:pPr>
      <w:r w:rsidDel="00000000" w:rsidR="00000000" w:rsidRPr="00000000">
        <w:rPr>
          <w:rtl w:val="0"/>
        </w:rPr>
        <w:t xml:space="preserve">No importa cómo etiquetemos las categorías siempre que estén ordenadas</w:t>
      </w:r>
    </w:p>
    <w:p w:rsidR="00000000" w:rsidDel="00000000" w:rsidP="00000000" w:rsidRDefault="00000000" w:rsidRPr="00000000" w14:paraId="000000C7">
      <w:pPr>
        <w:numPr>
          <w:ilvl w:val="0"/>
          <w:numId w:val="110"/>
        </w:numPr>
        <w:ind w:left="720" w:hanging="480"/>
        <w:rPr/>
      </w:pPr>
      <w:r w:rsidDel="00000000" w:rsidR="00000000" w:rsidRPr="00000000">
        <w:rPr>
          <w:rtl w:val="0"/>
        </w:rPr>
        <w:t xml:space="preserve">Para CINT: nunca (0), raramente (1), a veces (2), o casi siempre (3)</w:t>
      </w:r>
    </w:p>
    <w:bookmarkStart w:colFirst="0" w:colLast="0" w:name="bookmark=id.1v1yuxt" w:id="41"/>
    <w:bookmarkEnd w:id="41"/>
    <w:p w:rsidR="00000000" w:rsidDel="00000000" w:rsidP="00000000" w:rsidRDefault="00000000" w:rsidRPr="00000000" w14:paraId="000000C8">
      <w:pPr>
        <w:pStyle w:val="Heading2"/>
        <w:rPr/>
      </w:pPr>
      <w:r w:rsidDel="00000000" w:rsidR="00000000" w:rsidRPr="00000000">
        <w:rPr>
          <w:rtl w:val="0"/>
        </w:rPr>
        <w:t xml:space="preserve">Funciones de respuesta al ítem</w:t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</w:t>
      </w:r>
      <w:r w:rsidDel="00000000" w:rsidR="00000000" w:rsidRPr="00000000">
        <w:rPr>
          <w:rFonts w:ascii="Cambria" w:cs="Cambria" w:eastAsia="Cambria" w:hAnsi="Cambria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función de respuesta acumulativa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es la probabilidad de aprobar la categoría</w:t>
      </w:r>
      <w:r w:rsidDel="00000000" w:rsidR="00000000" w:rsidRPr="00000000">
        <w:rPr>
          <w:rFonts w:ascii="Cambria" w:cs="Cambria" w:eastAsia="Cambria" w:hAnsi="Cambria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c</m:t>
        </m:r>
      </m:oMath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 superior, condicional a </w:t>
      </w:r>
      <m:oMath>
        <m:r>
          <m:t>θ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P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jc</m:t>
            </m:r>
          </m:sub>
        </m:sSub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θ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r>
          <w:rPr>
            <w:rFonts w:ascii="Cambria" w:cs="Cambria" w:eastAsia="Cambria" w:hAnsi="Cambria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Prob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X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j</m:t>
                </m:r>
              </m:sub>
            </m:s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≥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c∣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θ</m:t>
            </m:r>
          </m:e>
        </m: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numPr>
          <w:ilvl w:val="0"/>
          <w:numId w:val="1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 definición, </w:t>
      </w: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P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j1</m:t>
            </m:r>
          </m:sub>
        </m:sSub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θ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=1</m:t>
        </m:r>
      </m:oMath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P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j,C+1</m:t>
            </m:r>
          </m:sub>
        </m:sSub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θ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=0</m:t>
        </m:r>
      </m:oMath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y</w:t>
      </w:r>
    </w:p>
    <w:p w:rsidR="00000000" w:rsidDel="00000000" w:rsidP="00000000" w:rsidRDefault="00000000" w:rsidRPr="00000000" w14:paraId="000000CC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" w:cs="Cambria" w:eastAsia="Cambria" w:hAnsi="Cambria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Prob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X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j</m:t>
                </m:r>
              </m:sub>
            </m:s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=c∣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θ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P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jc</m:t>
            </m:r>
          </m:sub>
        </m:sSub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θ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-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P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j,c+1</m:t>
            </m:r>
          </m:sub>
        </m:sSub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θ</m:t>
            </m:r>
          </m:e>
        </m: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numPr>
          <w:ilvl w:val="0"/>
          <w:numId w:val="1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" w:cs="Cambria" w:eastAsia="Cambria" w:hAnsi="Cambria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Prob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X</m:t>
                </m:r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j</m:t>
                </m:r>
              </m:sub>
            </m:s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=c∣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θ</m:t>
            </m:r>
          </m:e>
        </m:d>
      </m:oMath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 llaman las funciones de respuesta de categoría de ítem (FRCI)</w:t>
      </w:r>
      <w:r w:rsidDel="00000000" w:rsidR="00000000" w:rsidRPr="00000000">
        <w:rPr>
          <w:rtl w:val="0"/>
        </w:rPr>
      </w:r>
    </w:p>
    <w:bookmarkStart w:colFirst="0" w:colLast="0" w:name="bookmark=id.4f1mdlm" w:id="42"/>
    <w:bookmarkEnd w:id="42"/>
    <w:p w:rsidR="00000000" w:rsidDel="00000000" w:rsidP="00000000" w:rsidRDefault="00000000" w:rsidRPr="00000000" w14:paraId="000000CE">
      <w:pPr>
        <w:pStyle w:val="Heading2"/>
        <w:rPr/>
      </w:pPr>
      <w:r w:rsidDel="00000000" w:rsidR="00000000" w:rsidRPr="00000000">
        <w:rPr>
          <w:rtl w:val="0"/>
        </w:rPr>
        <w:t xml:space="preserve">MRG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1"/>
        <w:numPr>
          <w:ilvl w:val="0"/>
          <w:numId w:val="1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MRG asume un modelo 2PL para las funciones de respuesta acumulativas</w:t>
      </w:r>
    </w:p>
    <w:p w:rsidR="00000000" w:rsidDel="00000000" w:rsidP="00000000" w:rsidRDefault="00000000" w:rsidRPr="00000000" w14:paraId="000000D0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P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jc</m:t>
            </m:r>
          </m:sub>
        </m:sSub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θ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exp</m:t>
            </m:r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dPr>
              <m:e>
                <m:sSub>
                  <m:sSubPr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a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j</m:t>
                    </m:r>
                  </m:sub>
                </m:sSub>
                <m:d>
                  <m:dPr>
                    <m:begChr m:val="("/>
                    <m:endChr m:val=")"/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</m:ctrlPr>
                  </m:dPr>
                  <m:e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>θ</m:t>
                    </m:r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-</m:t>
                    </m:r>
                    <m:sSub>
                      <m:sSubPr>
                        <m:ctrlP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4"/>
                            <w:szCs w:val="24"/>
                            <w:u w:val="none"/>
                            <w:shd w:fill="auto" w:val="clear"/>
                            <w:vertAlign w:val="baseline"/>
                          </w:rPr>
                        </m:ctrlPr>
                      </m:sSubPr>
                      <m:e>
                        <m: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4"/>
                            <w:szCs w:val="24"/>
                            <w:u w:val="none"/>
                            <w:shd w:fill="auto" w:val="clear"/>
                            <w:vertAlign w:val="baseline"/>
                          </w:rPr>
                          <m:t xml:space="preserve">b</m:t>
                        </m:r>
                      </m:e>
                      <m:sub>
                        <m: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4"/>
                            <w:szCs w:val="24"/>
                            <w:u w:val="none"/>
                            <w:shd w:fill="auto" w:val="clear"/>
                            <w:vertAlign w:val="baseline"/>
                          </w:rPr>
                          <m:t xml:space="preserve">jc</m:t>
                        </m:r>
                      </m:sub>
                    </m:sSub>
                  </m:e>
                </m:d>
              </m:e>
            </m:d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1+exp</m:t>
            </m:r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dPr>
              <m:e>
                <m:sSub>
                  <m:sSubPr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a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j</m:t>
                    </m:r>
                  </m:sub>
                </m:sSub>
                <m:d>
                  <m:dPr>
                    <m:begChr m:val="("/>
                    <m:endChr m:val=")"/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</m:ctrlPr>
                  </m:dPr>
                  <m:e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>θ</m:t>
                    </m:r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-</m:t>
                    </m:r>
                    <m:sSub>
                      <m:sSubPr>
                        <m:ctrlP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4"/>
                            <w:szCs w:val="24"/>
                            <w:u w:val="none"/>
                            <w:shd w:fill="auto" w:val="clear"/>
                            <w:vertAlign w:val="baseline"/>
                          </w:rPr>
                        </m:ctrlPr>
                      </m:sSubPr>
                      <m:e>
                        <m: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4"/>
                            <w:szCs w:val="24"/>
                            <w:u w:val="none"/>
                            <w:shd w:fill="auto" w:val="clear"/>
                            <w:vertAlign w:val="baseline"/>
                          </w:rPr>
                          <m:t xml:space="preserve">b</m:t>
                        </m:r>
                      </m:e>
                      <m:sub>
                        <m: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4"/>
                            <w:szCs w:val="24"/>
                            <w:u w:val="none"/>
                            <w:shd w:fill="auto" w:val="clear"/>
                            <w:vertAlign w:val="baseline"/>
                          </w:rPr>
                          <m:t xml:space="preserve">jc</m:t>
                        </m:r>
                      </m:sub>
                    </m:sSub>
                  </m:e>
                </m:d>
              </m:e>
            </m:d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numPr>
          <w:ilvl w:val="0"/>
          <w:numId w:val="115"/>
        </w:numPr>
        <w:ind w:left="720" w:hanging="480"/>
        <w:rPr/>
      </w:pPr>
      <w:r w:rsidDel="00000000" w:rsidR="00000000" w:rsidRPr="00000000">
        <w:rPr>
          <w:rtl w:val="0"/>
        </w:rPr>
        <w:t xml:space="preserve">Cada ítem tiene solo una discriminación (suposición de probabilidades proporcionales)</w:t>
      </w:r>
    </w:p>
    <w:p w:rsidR="00000000" w:rsidDel="00000000" w:rsidP="00000000" w:rsidRDefault="00000000" w:rsidRPr="00000000" w14:paraId="000000D2">
      <w:pPr>
        <w:numPr>
          <w:ilvl w:val="0"/>
          <w:numId w:val="115"/>
        </w:numPr>
        <w:ind w:left="720" w:hanging="480"/>
        <w:rPr/>
      </w:pPr>
      <w:r w:rsidDel="00000000" w:rsidR="00000000" w:rsidRPr="00000000">
        <w:rPr>
          <w:rtl w:val="0"/>
        </w:rPr>
        <w:t xml:space="preserve">Cada categoría de respuesta tiene su propio parámetro de dificultad, ahora llamado parámetro de "umbral"</w:t>
      </w:r>
    </w:p>
    <w:bookmarkStart w:colFirst="0" w:colLast="0" w:name="bookmark=id.2u6wntf" w:id="43"/>
    <w:bookmarkEnd w:id="43"/>
    <w:p w:rsidR="00000000" w:rsidDel="00000000" w:rsidP="00000000" w:rsidRDefault="00000000" w:rsidRPr="00000000" w14:paraId="000000D3">
      <w:pPr>
        <w:pStyle w:val="Heading2"/>
        <w:rPr/>
      </w:pPr>
      <w:r w:rsidDel="00000000" w:rsidR="00000000" w:rsidRPr="00000000">
        <w:rPr>
          <w:rtl w:val="0"/>
        </w:rPr>
        <w:t xml:space="preserve">MRG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1"/>
        <w:numPr>
          <w:ilvl w:val="0"/>
          <w:numId w:val="1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partir de la función de respuesta acumulativa, derivamos las FRCI</w:t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numPr>
          <w:ilvl w:val="0"/>
          <w:numId w:val="8"/>
        </w:numPr>
        <w:ind w:left="720" w:hanging="480"/>
        <w:rPr/>
      </w:pPr>
      <w:r w:rsidDel="00000000" w:rsidR="00000000" w:rsidRPr="00000000">
        <w:rPr>
          <w:rtl w:val="0"/>
        </w:rPr>
        <w:t xml:space="preserve">Estas dan la probabilidad de aprobar cada categoría</w:t>
      </w:r>
    </w:p>
    <w:p w:rsidR="00000000" w:rsidDel="00000000" w:rsidP="00000000" w:rsidRDefault="00000000" w:rsidRPr="00000000" w14:paraId="000000D7">
      <w:pPr>
        <w:numPr>
          <w:ilvl w:val="0"/>
          <w:numId w:val="8"/>
        </w:numPr>
        <w:ind w:left="720" w:hanging="480"/>
        <w:rPr/>
      </w:pPr>
      <w:r w:rsidDel="00000000" w:rsidR="00000000" w:rsidRPr="00000000">
        <w:rPr>
          <w:rtl w:val="0"/>
        </w:rPr>
        <w:t xml:space="preserve">Note que esto se reduce a 2PL para</w:t>
      </w:r>
      <m:oMath>
        <m:r>
          <w:rPr>
            <w:rFonts w:ascii="Cambria Math" w:cs="Cambria Math" w:eastAsia="Cambria Math" w:hAnsi="Cambria Math"/>
          </w:rPr>
          <m:t xml:space="preserve">C=2</m:t>
        </m:r>
      </m:oMath>
      <w:r w:rsidDel="00000000" w:rsidR="00000000" w:rsidRPr="00000000">
        <w:rPr>
          <w:rtl w:val="0"/>
        </w:rPr>
      </w:r>
    </w:p>
    <w:bookmarkStart w:colFirst="0" w:colLast="0" w:name="bookmark=id.19c6y18" w:id="44"/>
    <w:bookmarkEnd w:id="44"/>
    <w:p w:rsidR="00000000" w:rsidDel="00000000" w:rsidP="00000000" w:rsidRDefault="00000000" w:rsidRPr="00000000" w14:paraId="000000D8">
      <w:pPr>
        <w:pStyle w:val="Heading2"/>
        <w:rPr/>
      </w:pPr>
      <w:r w:rsidDel="00000000" w:rsidR="00000000" w:rsidRPr="00000000">
        <w:rPr>
          <w:rtl w:val="0"/>
        </w:rPr>
        <w:t xml:space="preserve">MRG: Ejemplo</w:t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1f3f5" w:val="clear"/>
        <w:spacing w:after="20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library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(mirt)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# Load data and separate depression items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cint &lt;-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read.csv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"cint_data.csv"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depression_names &lt;-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c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"cint1"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"cint2"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"cint4"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"cint11"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                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"cint27"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"cint28"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"cint29"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"cint30"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depression_items &lt;- cint[, depression_names]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# Run GRM model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grm &lt;-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mirt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(depression_items,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      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itemtype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"graded"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# per item plots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itemplot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(grm, 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   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item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1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   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type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"threshold"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   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main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"Cumulative response functions"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itemplot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(grm,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   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item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1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   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type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"trace"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   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main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"Category response functions"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# Plotting all test items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plot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(grm,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type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"itemscore"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main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"Expected item score functions"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facet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F)</w:t>
      </w:r>
      <w:r w:rsidDel="00000000" w:rsidR="00000000" w:rsidRPr="00000000">
        <w:rPr>
          <w:rtl w:val="0"/>
        </w:rPr>
      </w:r>
    </w:p>
    <w:bookmarkStart w:colFirst="0" w:colLast="0" w:name="bookmark=id.3tbugp1" w:id="45"/>
    <w:bookmarkEnd w:id="45"/>
    <w:p w:rsidR="00000000" w:rsidDel="00000000" w:rsidP="00000000" w:rsidRDefault="00000000" w:rsidRPr="00000000" w14:paraId="000000DA">
      <w:pPr>
        <w:pStyle w:val="Heading2"/>
        <w:rPr/>
      </w:pPr>
      <w:r w:rsidDel="00000000" w:rsidR="00000000" w:rsidRPr="00000000">
        <w:rPr>
          <w:rtl w:val="0"/>
        </w:rPr>
        <w:t xml:space="preserve">MRG: Ejemplo</w:t>
      </w:r>
    </w:p>
    <w:tbl>
      <w:tblPr>
        <w:tblStyle w:val="Table7"/>
        <w:tblW w:w="9576.0" w:type="dxa"/>
        <w:jc w:val="left"/>
        <w:tblInd w:w="-108.0" w:type="dxa"/>
        <w:tblLayout w:type="fixed"/>
        <w:tblLook w:val="0000"/>
      </w:tblPr>
      <w:tblGrid>
        <w:gridCol w:w="6525"/>
        <w:gridCol w:w="3051"/>
        <w:tblGridChange w:id="0">
          <w:tblGrid>
            <w:gridCol w:w="6525"/>
            <w:gridCol w:w="305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B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5334000" cy="4267200"/>
                  <wp:effectExtent b="0" l="0" r="0" t="0"/>
                  <wp:docPr id="1024429729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426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5334000" cy="4267200"/>
                  <wp:effectExtent b="0" l="0" r="0" t="0"/>
                  <wp:docPr id="1024429730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426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D">
            <w:pPr>
              <w:numPr>
                <w:ilvl w:val="0"/>
                <w:numId w:val="9"/>
              </w:numPr>
              <w:ind w:left="720" w:hanging="48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Gráficos para CINT.1 (“Se siente triste o deprimido”)</w:t>
            </w:r>
          </w:p>
          <w:p w:rsidR="00000000" w:rsidDel="00000000" w:rsidP="00000000" w:rsidRDefault="00000000" w:rsidRPr="00000000" w14:paraId="000000DE">
            <w:pPr>
              <w:numPr>
                <w:ilvl w:val="0"/>
                <w:numId w:val="9"/>
              </w:numPr>
              <w:ind w:left="720" w:hanging="48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Las funciones de respuesta acumulativa (arriba) no se informan habitualmente, se muestran aquí para ilustrar la suposición de 2PL</w:t>
            </w:r>
          </w:p>
          <w:p w:rsidR="00000000" w:rsidDel="00000000" w:rsidP="00000000" w:rsidRDefault="00000000" w:rsidRPr="00000000" w14:paraId="000000DF">
            <w:pPr>
              <w:numPr>
                <w:ilvl w:val="0"/>
                <w:numId w:val="9"/>
              </w:numPr>
              <w:ind w:left="720" w:hanging="48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Las FRCI (abajo) suelen informarse, muestran la probabilidad de aprobar cada categoría</w:t>
            </w:r>
          </w:p>
          <w:p w:rsidR="00000000" w:rsidDel="00000000" w:rsidP="00000000" w:rsidRDefault="00000000" w:rsidRPr="00000000" w14:paraId="000000E0">
            <w:pPr>
              <w:numPr>
                <w:ilvl w:val="0"/>
                <w:numId w:val="9"/>
              </w:numPr>
              <w:ind w:left="720" w:hanging="48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Los valores de los umbrales de los ítems se muestran con líneas verticales discontinuas</w:t>
            </w:r>
          </w:p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1"/>
              <w:numPr>
                <w:ilvl w:val="1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1440" w:right="0" w:hanging="48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“dificultades” en las funciones de respuesta acumulativa</w:t>
            </w:r>
          </w:p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1"/>
              <w:numPr>
                <w:ilvl w:val="1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1440" w:right="0" w:hanging="480"/>
              <w:jc w:val="center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“umbrales” o límites de categoría en FRCI</w:t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bookmarkStart w:colFirst="0" w:colLast="0" w:name="bookmark=id.28h4qwu" w:id="46"/>
    <w:bookmarkEnd w:id="46"/>
    <w:p w:rsidR="00000000" w:rsidDel="00000000" w:rsidP="00000000" w:rsidRDefault="00000000" w:rsidRPr="00000000" w14:paraId="000000E4">
      <w:pPr>
        <w:pStyle w:val="Heading2"/>
        <w:rPr/>
      </w:pPr>
      <w:r w:rsidDel="00000000" w:rsidR="00000000" w:rsidRPr="00000000">
        <w:rPr>
          <w:rtl w:val="0"/>
        </w:rPr>
        <w:t xml:space="preserve">MRG: Ejemplo</w:t>
      </w:r>
    </w:p>
    <w:tbl>
      <w:tblPr>
        <w:tblStyle w:val="Table8"/>
        <w:tblW w:w="9576.0" w:type="dxa"/>
        <w:jc w:val="left"/>
        <w:tblInd w:w="-108.0" w:type="dxa"/>
        <w:tblLayout w:type="fixed"/>
        <w:tblLook w:val="0000"/>
      </w:tblPr>
      <w:tblGrid>
        <w:gridCol w:w="7631"/>
        <w:gridCol w:w="1945"/>
        <w:tblGridChange w:id="0">
          <w:tblGrid>
            <w:gridCol w:w="7631"/>
            <w:gridCol w:w="194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5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5334000" cy="4267200"/>
                  <wp:effectExtent b="0" l="0" r="0" t="0"/>
                  <wp:docPr id="1024429731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426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6">
            <w:pPr>
              <w:numPr>
                <w:ilvl w:val="0"/>
                <w:numId w:val="1"/>
              </w:numPr>
              <w:ind w:left="720" w:hanging="48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Trazar la puntuación esperada del ítem es una forma de simplificar la presentación de toda la evaluación</w:t>
            </w:r>
          </w:p>
          <w:p w:rsidR="00000000" w:rsidDel="00000000" w:rsidP="00000000" w:rsidRDefault="00000000" w:rsidRPr="00000000" w14:paraId="000000E7">
            <w:pPr>
              <w:numPr>
                <w:ilvl w:val="0"/>
                <w:numId w:val="1"/>
              </w:numPr>
              <w:ind w:left="720" w:hanging="48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Muestra cómo la respuesta esperada (0-3) depende del rasgo medido</w:t>
            </w:r>
          </w:p>
          <w:p w:rsidR="00000000" w:rsidDel="00000000" w:rsidP="00000000" w:rsidRDefault="00000000" w:rsidRPr="00000000" w14:paraId="000000E8">
            <w:pPr>
              <w:numPr>
                <w:ilvl w:val="0"/>
                <w:numId w:val="1"/>
              </w:numPr>
              <w:ind w:left="720" w:hanging="48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Calculado como </w:t>
            </w:r>
            <m:oMath>
              <m:nary>
                <m:naryPr>
                  <m:chr m:val="∑"/>
                  <m:ctrlPr>
                    <w:rPr>
                      <w:rFonts w:ascii="Cambria Math" w:cs="Cambria Math" w:eastAsia="Cambria Math" w:hAnsi="Cambria Math"/>
                    </w:rPr>
                  </m:ctrlPr>
                </m:naryPr>
                <m:sub>
                  <m:r>
                    <w:rPr>
                      <w:rFonts w:ascii="Cambria Math" w:cs="Cambria Math" w:eastAsia="Cambria Math" w:hAnsi="Cambria Math"/>
                    </w:rPr>
                    <m:t xml:space="preserve">c</m:t>
                  </m:r>
                </m:sub>
                <m:sup/>
              </m:nary>
              <m:r>
                <w:rPr>
                  <w:rFonts w:ascii="Cambria Math" w:cs="Cambria Math" w:eastAsia="Cambria Math" w:hAnsi="Cambria Math"/>
                </w:rPr>
                <m:t xml:space="preserve">c</m:t>
              </m:r>
              <m:r>
                <w:rPr>
                  <w:rFonts w:ascii="Cambria Math" w:cs="Cambria Math" w:eastAsia="Cambria Math" w:hAnsi="Cambria Math"/>
                </w:rPr>
                <m:t>×</m:t>
              </m:r>
              <m:r>
                <w:rPr/>
                <m:t xml:space="preserve">Prob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X</m:t>
                      </m:r>
                    </m:e>
                    <m:sub>
                      <m:r>
                        <w:rPr>
                          <w:rFonts w:ascii="Cambria Math" w:cs="Cambria Math" w:eastAsia="Cambria Math" w:hAnsi="Cambria Math"/>
                        </w:rPr>
                        <m:t xml:space="preserve">j</m:t>
                      </m:r>
                    </m:sub>
                  </m:sSub>
                  <m:r>
                    <w:rPr>
                      <w:rFonts w:ascii="Cambria Math" w:cs="Cambria Math" w:eastAsia="Cambria Math" w:hAnsi="Cambria Math"/>
                    </w:rPr>
                    <m:t xml:space="preserve">=c∣</m:t>
                  </m:r>
                  <m:r>
                    <w:rPr>
                      <w:rFonts w:ascii="Cambria Math" w:cs="Cambria Math" w:eastAsia="Cambria Math" w:hAnsi="Cambria Math"/>
                    </w:rPr>
                    <m:t>θ</m:t>
                  </m:r>
                </m:e>
              </m:d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numPr>
                <w:ilvl w:val="0"/>
                <w:numId w:val="1"/>
              </w:numPr>
              <w:ind w:left="720" w:hanging="48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De izquierda a derecha, ítems que fueron “más fáciles” en el sentido de que se esperaban puntuaciones de ítem más altas para valores más bajos de depresión</w:t>
            </w:r>
          </w:p>
        </w:tc>
      </w:tr>
    </w:tbl>
    <w:bookmarkStart w:colFirst="0" w:colLast="0" w:name="bookmark=id.nmf14n" w:id="47"/>
    <w:bookmarkEnd w:id="47"/>
    <w:p w:rsidR="00000000" w:rsidDel="00000000" w:rsidP="00000000" w:rsidRDefault="00000000" w:rsidRPr="00000000" w14:paraId="000000EA">
      <w:pPr>
        <w:pStyle w:val="Heading2"/>
        <w:rPr/>
      </w:pPr>
      <w:r w:rsidDel="00000000" w:rsidR="00000000" w:rsidRPr="00000000">
        <w:rPr>
          <w:rtl w:val="0"/>
        </w:rPr>
        <w:t xml:space="preserve">MRG: Ejemplo</w:t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1f3f5" w:val="clear"/>
        <w:spacing w:after="20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coef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(grm,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IRTpars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T,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simplify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1f3f5" w:val="clear"/>
        <w:spacing w:after="20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$items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a     b1     b2    b3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cint1  1.612 -1.622 -0.011 1.578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cint2  1.286 -1.049  0.306 1.665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cint4  1.129 -1.879 -0.195 1.758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cint11 1.219 -1.688 -0.402 1.608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cint27 1.692 -0.594  0.279 1.404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cint28 1.213 -1.292 -0.001 1.641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cint29 1.351 -0.004  0.889 2.217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cint30 1.155 -0.630  0.435 1.910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$means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F1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0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$cov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F1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F1 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numPr>
          <w:ilvl w:val="0"/>
          <w:numId w:val="2"/>
        </w:numPr>
        <w:ind w:left="720" w:hanging="480"/>
        <w:rPr/>
      </w:pPr>
      <w:r w:rsidDel="00000000" w:rsidR="00000000" w:rsidRPr="00000000">
        <w:rPr>
          <w:rtl w:val="0"/>
        </w:rPr>
        <w:t xml:space="preserve">Generalmente, se presentan gráficos para resumir modelos, en lugar de tablas de coeficientes</w:t>
      </w:r>
    </w:p>
    <w:p w:rsidR="00000000" w:rsidDel="00000000" w:rsidP="00000000" w:rsidRDefault="00000000" w:rsidRPr="00000000" w14:paraId="000000EE">
      <w:pPr>
        <w:numPr>
          <w:ilvl w:val="0"/>
          <w:numId w:val="2"/>
        </w:numPr>
        <w:ind w:left="720" w:hanging="480"/>
        <w:rPr/>
      </w:pPr>
      <w:r w:rsidDel="00000000" w:rsidR="00000000" w:rsidRPr="00000000">
        <w:rPr>
          <w:rtl w:val="0"/>
        </w:rPr>
        <w:t xml:space="preserve">Las FII, la FIP y la confiabilidad se proporcionan en el Apéndice</w:t>
      </w:r>
    </w:p>
    <w:bookmarkStart w:colFirst="0" w:colLast="0" w:name="bookmark=id.37m2jsg" w:id="48"/>
    <w:bookmarkEnd w:id="48"/>
    <w:p w:rsidR="00000000" w:rsidDel="00000000" w:rsidP="00000000" w:rsidRDefault="00000000" w:rsidRPr="00000000" w14:paraId="000000EF">
      <w:pPr>
        <w:pStyle w:val="Heading2"/>
        <w:rPr/>
      </w:pPr>
      <w:r w:rsidDel="00000000" w:rsidR="00000000" w:rsidRPr="00000000">
        <w:rPr>
          <w:rtl w:val="0"/>
        </w:rPr>
        <w:t xml:space="preserve">Resumen</w:t>
      </w:r>
    </w:p>
    <w:p w:rsidR="00000000" w:rsidDel="00000000" w:rsidP="00000000" w:rsidRDefault="00000000" w:rsidRPr="00000000" w14:paraId="000000F0">
      <w:pPr>
        <w:numPr>
          <w:ilvl w:val="0"/>
          <w:numId w:val="3"/>
        </w:numPr>
        <w:ind w:left="720" w:hanging="480"/>
        <w:rPr/>
      </w:pPr>
      <w:r w:rsidDel="00000000" w:rsidR="00000000" w:rsidRPr="00000000">
        <w:rPr>
          <w:rtl w:val="0"/>
        </w:rPr>
        <w:t xml:space="preserve">El MRG es ampliamente utilizado para respuestas categóricas ordenadas</w:t>
      </w:r>
    </w:p>
    <w:p w:rsidR="00000000" w:rsidDel="00000000" w:rsidP="00000000" w:rsidRDefault="00000000" w:rsidRPr="00000000" w14:paraId="000000F1">
      <w:pPr>
        <w:numPr>
          <w:ilvl w:val="0"/>
          <w:numId w:val="3"/>
        </w:numPr>
        <w:ind w:left="720" w:hanging="480"/>
        <w:rPr/>
      </w:pPr>
      <w:r w:rsidDel="00000000" w:rsidR="00000000" w:rsidRPr="00000000">
        <w:rPr>
          <w:rtl w:val="0"/>
        </w:rPr>
        <w:t xml:space="preserve">Las funciones de respuesta acumulativa se modelan utilizando 2PL</w:t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Cada ítem tiene la misma discriminación para todas las categorías, suposición de probabilidades proporcionales</w:t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Cada ítem tiene un parámetro de umbral diferente para cada categoría</w:t>
      </w:r>
    </w:p>
    <w:p w:rsidR="00000000" w:rsidDel="00000000" w:rsidP="00000000" w:rsidRDefault="00000000" w:rsidRPr="00000000" w14:paraId="000000F4">
      <w:pPr>
        <w:numPr>
          <w:ilvl w:val="0"/>
          <w:numId w:val="3"/>
        </w:numPr>
        <w:ind w:left="720" w:hanging="480"/>
        <w:rPr/>
      </w:pPr>
      <w:r w:rsidDel="00000000" w:rsidR="00000000" w:rsidRPr="00000000">
        <w:rPr>
          <w:rtl w:val="0"/>
        </w:rPr>
        <w:t xml:space="preserve">Las FRCI se derivan de las funciones de respuesta acumulativa</w:t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Estas dan la probabilidad de aprobar cada categoría</w:t>
      </w:r>
    </w:p>
    <w:bookmarkStart w:colFirst="0" w:colLast="0" w:name="bookmark=id.1mrcu09" w:id="49"/>
    <w:bookmarkEnd w:id="49"/>
    <w:p w:rsidR="00000000" w:rsidDel="00000000" w:rsidP="00000000" w:rsidRDefault="00000000" w:rsidRPr="00000000" w14:paraId="000000F6">
      <w:pPr>
        <w:pStyle w:val="Heading1"/>
        <w:rPr/>
      </w:pPr>
      <w:r w:rsidDel="00000000" w:rsidR="00000000" w:rsidRPr="00000000">
        <w:rPr>
          <w:rtl w:val="0"/>
        </w:rPr>
        <w:t xml:space="preserve">FDI</w:t>
      </w:r>
    </w:p>
    <w:bookmarkStart w:colFirst="0" w:colLast="0" w:name="bookmark=id.46r0co2" w:id="50"/>
    <w:bookmarkEnd w:id="50"/>
    <w:p w:rsidR="00000000" w:rsidDel="00000000" w:rsidP="00000000" w:rsidRDefault="00000000" w:rsidRPr="00000000" w14:paraId="000000F7">
      <w:pPr>
        <w:pStyle w:val="Heading2"/>
        <w:rPr/>
      </w:pPr>
      <w:r w:rsidDel="00000000" w:rsidR="00000000" w:rsidRPr="00000000">
        <w:rPr>
          <w:rtl w:val="0"/>
        </w:rPr>
        <w:t xml:space="preserve">Descripción General</w:t>
      </w:r>
    </w:p>
    <w:p w:rsidR="00000000" w:rsidDel="00000000" w:rsidP="00000000" w:rsidRDefault="00000000" w:rsidRPr="00000000" w14:paraId="000000F8">
      <w:pPr>
        <w:numPr>
          <w:ilvl w:val="0"/>
          <w:numId w:val="6"/>
        </w:numPr>
        <w:ind w:left="720" w:hanging="480"/>
        <w:rPr/>
      </w:pPr>
      <w:r w:rsidDel="00000000" w:rsidR="00000000" w:rsidRPr="00000000">
        <w:rPr>
          <w:rtl w:val="0"/>
        </w:rPr>
        <w:t xml:space="preserve">El objetivo del análisis de FDI es detectar ítems sesgados sin hacer suposiciones sobre el impacto</w:t>
      </w:r>
    </w:p>
    <w:p w:rsidR="00000000" w:rsidDel="00000000" w:rsidP="00000000" w:rsidRDefault="00000000" w:rsidRPr="00000000" w14:paraId="000000F9">
      <w:pPr>
        <w:numPr>
          <w:ilvl w:val="0"/>
          <w:numId w:val="6"/>
        </w:numPr>
        <w:ind w:left="720" w:hanging="480"/>
        <w:rPr/>
      </w:pPr>
      <w:r w:rsidDel="00000000" w:rsidR="00000000" w:rsidRPr="00000000">
        <w:rPr>
          <w:rtl w:val="0"/>
        </w:rPr>
        <w:t xml:space="preserve">Entonces, queremos probar si los parámetros de los ítems difieren entre grupos</w:t>
      </w:r>
    </w:p>
    <w:p w:rsidR="00000000" w:rsidDel="00000000" w:rsidP="00000000" w:rsidRDefault="00000000" w:rsidRPr="00000000" w14:paraId="000000FA">
      <w:pPr>
        <w:numPr>
          <w:ilvl w:val="0"/>
          <w:numId w:val="6"/>
        </w:numPr>
        <w:ind w:left="720" w:hanging="480"/>
        <w:rPr/>
      </w:pPr>
      <w:r w:rsidDel="00000000" w:rsidR="00000000" w:rsidRPr="00000000">
        <w:rPr>
          <w:rtl w:val="0"/>
        </w:rPr>
        <w:t xml:space="preserve">Hay muchas formas de hacer esto, pero para el ejemplo nos centraremos en la prueba de razón de verosimilitud para modelos anidados</w:t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Mismo enfoque utilizado para el análisis factorial</w:t>
      </w:r>
    </w:p>
    <w:p w:rsidR="00000000" w:rsidDel="00000000" w:rsidP="00000000" w:rsidRDefault="00000000" w:rsidRPr="00000000" w14:paraId="000000FC">
      <w:pPr>
        <w:numPr>
          <w:ilvl w:val="0"/>
          <w:numId w:val="6"/>
        </w:numPr>
        <w:ind w:left="720" w:hanging="480"/>
        <w:rPr/>
      </w:pPr>
      <w:r w:rsidDel="00000000" w:rsidR="00000000" w:rsidRPr="00000000">
        <w:rPr>
          <w:rtl w:val="0"/>
        </w:rPr>
        <w:t xml:space="preserve">Si un ítem muestra FDI, debe ser investigado (por ejemplo, revisar, omitir)</w:t>
      </w:r>
    </w:p>
    <w:p w:rsidR="00000000" w:rsidDel="00000000" w:rsidP="00000000" w:rsidRDefault="00000000" w:rsidRPr="00000000" w14:paraId="000000FD">
      <w:pPr>
        <w:numPr>
          <w:ilvl w:val="0"/>
          <w:numId w:val="6"/>
        </w:numPr>
        <w:ind w:left="720" w:hanging="480"/>
        <w:rPr/>
      </w:pPr>
      <w:r w:rsidDel="00000000" w:rsidR="00000000" w:rsidRPr="00000000">
        <w:rPr>
          <w:rtl w:val="0"/>
        </w:rPr>
        <w:t xml:space="preserve">Suena lo suficientemente simple, pero…</w:t>
      </w:r>
    </w:p>
    <w:bookmarkStart w:colFirst="0" w:colLast="0" w:name="bookmark=id.2lwamvv" w:id="51"/>
    <w:bookmarkEnd w:id="51"/>
    <w:p w:rsidR="00000000" w:rsidDel="00000000" w:rsidP="00000000" w:rsidRDefault="00000000" w:rsidRPr="00000000" w14:paraId="000000FE">
      <w:pPr>
        <w:pStyle w:val="Heading2"/>
        <w:rPr/>
      </w:pPr>
      <w:r w:rsidDel="00000000" w:rsidR="00000000" w:rsidRPr="00000000">
        <w:rPr>
          <w:rtl w:val="0"/>
        </w:rPr>
        <w:t xml:space="preserve">FDI son dos problemas interrelacionados</w:t>
      </w:r>
    </w:p>
    <w:p w:rsidR="00000000" w:rsidDel="00000000" w:rsidP="00000000" w:rsidRDefault="00000000" w:rsidRPr="00000000" w14:paraId="000000FF">
      <w:pPr>
        <w:numPr>
          <w:ilvl w:val="0"/>
          <w:numId w:val="17"/>
        </w:numPr>
        <w:ind w:left="720" w:hanging="480"/>
        <w:rPr/>
      </w:pPr>
      <w:r w:rsidDel="00000000" w:rsidR="00000000" w:rsidRPr="00000000">
        <w:rPr>
          <w:rtl w:val="0"/>
        </w:rPr>
        <w:t xml:space="preserve">El problema más obvio: Inferir si los parámetros de los ítems difieren como función de alguna(s) variable(s) externa(s)</w:t>
      </w:r>
    </w:p>
    <w:p w:rsidR="00000000" w:rsidDel="00000000" w:rsidP="00000000" w:rsidRDefault="00000000" w:rsidRPr="00000000" w14:paraId="00000100">
      <w:pPr>
        <w:numPr>
          <w:ilvl w:val="0"/>
          <w:numId w:val="17"/>
        </w:numPr>
        <w:ind w:left="720" w:hanging="480"/>
        <w:rPr/>
      </w:pPr>
      <w:r w:rsidDel="00000000" w:rsidR="00000000" w:rsidRPr="00000000">
        <w:rPr>
          <w:rtl w:val="0"/>
        </w:rPr>
        <w:t xml:space="preserve">Para fines ilustrativos, considere la prueba de Wald de Lord para el parámetro de dificultad de 2PL en grupos g = </w:t>
      </w:r>
      <m:oMath>
        <m:r>
          <w:rPr>
            <w:rFonts w:ascii="Cambria Math" w:cs="Cambria Math" w:eastAsia="Cambria Math" w:hAnsi="Cambria Math"/>
          </w:rPr>
          <m:t xml:space="preserve">0,1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z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bPr>
              <m:e>
                <m:acc>
                  <m:accPr>
                    <m:chr m:val="̂"/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</m:ctrlPr>
                  </m:accPr>
                  <m:e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b</m:t>
                    </m:r>
                  </m:e>
                </m:acc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1j</m:t>
                </m:r>
              </m:sub>
            </m:s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-</m:t>
            </m:r>
            <m:sSub>
              <m:sSub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bPr>
              <m:e>
                <m:acc>
                  <m:accPr>
                    <m:chr m:val="̂"/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</m:ctrlPr>
                  </m:accPr>
                  <m:e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b</m:t>
                    </m:r>
                  </m:e>
                </m:acc>
              </m:e>
              <m: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0j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" w:cs="Cambria" w:eastAsia="Cambria" w:hAnsi="Cambri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radPr>
              <m:e>
                <m:r>
                  <w:rPr>
                    <w:rFonts w:ascii="Cambria" w:cs="Cambria" w:eastAsia="Cambria" w:hAnsi="Cambri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var</m:t>
                </m:r>
                <m:d>
                  <m:dPr>
                    <m:begChr m:val="("/>
                    <m:endChr m:val=")"/>
                    <m:ctrlPr>
                      <w:rPr>
                        <w:rFonts w:ascii="Cambria" w:cs="Cambria" w:eastAsia="Cambria" w:hAnsi="Cambria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4"/>
                            <w:szCs w:val="24"/>
                            <w:u w:val="none"/>
                            <w:shd w:fill="auto" w:val="clear"/>
                            <w:vertAlign w:val="baseline"/>
                          </w:rPr>
                        </m:ctrlPr>
                      </m:sSubPr>
                      <m:e>
                        <m:acc>
                          <m:accPr>
                            <m:chr m:val="̂"/>
                            <m:ctrlPr>
                              <w:rPr>
                                <w:rFonts w:ascii="Cambria Math" w:cs="Cambria Math" w:eastAsia="Cambria Math" w:hAnsi="Cambria Math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szCs w:val="24"/>
                                <w:u w:val="none"/>
                                <w:shd w:fill="auto" w:val="clear"/>
                                <w:vertAlign w:val="baseli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cs="Cambria Math" w:eastAsia="Cambria Math" w:hAnsi="Cambria Math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szCs w:val="24"/>
                                <w:u w:val="none"/>
                                <w:shd w:fill="auto" w:val="clear"/>
                                <w:vertAlign w:val="baseline"/>
                              </w:rPr>
                              <m:t xml:space="preserve">b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4"/>
                            <w:szCs w:val="24"/>
                            <w:u w:val="none"/>
                            <w:shd w:fill="auto" w:val="clear"/>
                            <w:vertAlign w:val="baseline"/>
                          </w:rPr>
                          <m:t xml:space="preserve">1j</m:t>
                        </m:r>
                      </m:sub>
                    </m:sSub>
                  </m:e>
                </m:d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+</m:t>
                </m:r>
                <m:r>
                  <w:rPr>
                    <w:rFonts w:ascii="Cambria" w:cs="Cambria" w:eastAsia="Cambria" w:hAnsi="Cambri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var</m:t>
                </m:r>
                <m:d>
                  <m:dPr>
                    <m:begChr m:val="("/>
                    <m:endChr m:val=")"/>
                    <m:ctrlPr>
                      <w:rPr>
                        <w:rFonts w:ascii="Cambria" w:cs="Cambria" w:eastAsia="Cambria" w:hAnsi="Cambria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4"/>
                            <w:szCs w:val="24"/>
                            <w:u w:val="none"/>
                            <w:shd w:fill="auto" w:val="clear"/>
                            <w:vertAlign w:val="baseline"/>
                          </w:rPr>
                        </m:ctrlPr>
                      </m:sSubPr>
                      <m:e>
                        <m:acc>
                          <m:accPr>
                            <m:chr m:val="̂"/>
                            <m:ctrlPr>
                              <w:rPr>
                                <w:rFonts w:ascii="Cambria Math" w:cs="Cambria Math" w:eastAsia="Cambria Math" w:hAnsi="Cambria Math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szCs w:val="24"/>
                                <w:u w:val="none"/>
                                <w:shd w:fill="auto" w:val="clear"/>
                                <w:vertAlign w:val="baseline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cs="Cambria Math" w:eastAsia="Cambria Math" w:hAnsi="Cambria Math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szCs w:val="24"/>
                                <w:u w:val="none"/>
                                <w:shd w:fill="auto" w:val="clear"/>
                                <w:vertAlign w:val="baseline"/>
                              </w:rPr>
                              <m:t xml:space="preserve">b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4"/>
                            <w:szCs w:val="24"/>
                            <w:u w:val="none"/>
                            <w:shd w:fill="auto" w:val="clear"/>
                            <w:vertAlign w:val="baseline"/>
                          </w:rPr>
                          <m:t xml:space="preserve">0j</m:t>
                        </m:r>
                      </m:sub>
                    </m:sSub>
                  </m:e>
                </m:d>
              </m:e>
            </m:rad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(Utilizaremos la prueba de razón de verosimilitud más adelante, pero la prueba de Lord es simple de interpretar)</w:t>
      </w:r>
    </w:p>
    <w:bookmarkStart w:colFirst="0" w:colLast="0" w:name="bookmark=id.111kx3o" w:id="52"/>
    <w:bookmarkEnd w:id="52"/>
    <w:p w:rsidR="00000000" w:rsidDel="00000000" w:rsidP="00000000" w:rsidRDefault="00000000" w:rsidRPr="00000000" w14:paraId="00000103">
      <w:pPr>
        <w:pStyle w:val="Heading2"/>
        <w:rPr/>
      </w:pPr>
      <w:r w:rsidDel="00000000" w:rsidR="00000000" w:rsidRPr="00000000">
        <w:rPr>
          <w:rtl w:val="0"/>
        </w:rPr>
        <w:t xml:space="preserve">FDI son dos problemas interrelacionados</w:t>
      </w:r>
    </w:p>
    <w:p w:rsidR="00000000" w:rsidDel="00000000" w:rsidP="00000000" w:rsidRDefault="00000000" w:rsidRPr="00000000" w14:paraId="00000104">
      <w:pPr>
        <w:numPr>
          <w:ilvl w:val="0"/>
          <w:numId w:val="19"/>
        </w:numPr>
        <w:ind w:left="720" w:hanging="480"/>
        <w:rPr/>
      </w:pPr>
      <w:r w:rsidDel="00000000" w:rsidR="00000000" w:rsidRPr="00000000">
        <w:rPr>
          <w:rtl w:val="0"/>
        </w:rPr>
        <w:t xml:space="preserve">El problema menos obvio: Los modelos TRI están identificados solo hasta una transformación lineal del rasgo latente</w:t>
      </w:r>
    </w:p>
    <w:p w:rsidR="00000000" w:rsidDel="00000000" w:rsidP="00000000" w:rsidRDefault="00000000" w:rsidRPr="00000000" w14:paraId="00000105">
      <w:pPr>
        <w:numPr>
          <w:ilvl w:val="0"/>
          <w:numId w:val="19"/>
        </w:numPr>
        <w:ind w:left="720" w:hanging="480"/>
        <w:rPr/>
      </w:pPr>
      <w:r w:rsidDel="00000000" w:rsidR="00000000" w:rsidRPr="00000000">
        <w:rPr>
          <w:rtl w:val="0"/>
        </w:rPr>
        <w:t xml:space="preserve">Esto significa que los parámetros de los ítems y el rasgo latente pueden transformarse linealmente sin cambiar las FRI</w:t>
      </w:r>
    </w:p>
    <w:p w:rsidR="00000000" w:rsidDel="00000000" w:rsidP="00000000" w:rsidRDefault="00000000" w:rsidRPr="00000000" w14:paraId="00000106">
      <w:pPr>
        <w:numPr>
          <w:ilvl w:val="0"/>
          <w:numId w:val="19"/>
        </w:numPr>
        <w:ind w:left="720" w:hanging="480"/>
        <w:rPr/>
      </w:pPr>
      <w:r w:rsidDel="00000000" w:rsidR="00000000" w:rsidRPr="00000000">
        <w:rPr>
          <w:rtl w:val="0"/>
        </w:rPr>
        <w:t xml:space="preserve">Deje que </w:t>
      </w:r>
      <m:oMath>
        <m:sSup>
          <m:sSupPr>
            <m:ctrlPr>
              <w:rPr>
                <w:rFonts w:ascii="Cambria Math" w:cs="Cambria Math" w:eastAsia="Cambria Math" w:hAnsi="Cambria Math"/>
              </w:rPr>
            </m:ctrlPr>
          </m:sSupPr>
          <m:e>
            <m:r>
              <m:t>θ</m:t>
            </m:r>
          </m:e>
          <m:sup>
            <m:r>
              <w:rPr>
                <w:rFonts w:ascii="Cambria Math" w:cs="Cambria Math" w:eastAsia="Cambria Math" w:hAnsi="Cambria Math"/>
              </w:rPr>
              <m:t xml:space="preserve">*</m:t>
            </m:r>
          </m:sup>
        </m:sSup>
        <m:r>
          <w:rPr>
            <w:rFonts w:ascii="Cambria Math" w:cs="Cambria Math" w:eastAsia="Cambria Math" w:hAnsi="Cambria Math"/>
          </w:rPr>
          <m:t xml:space="preserve">=Aθ+B</m:t>
        </m:r>
      </m:oMath>
      <w:r w:rsidDel="00000000" w:rsidR="00000000" w:rsidRPr="00000000">
        <w:rPr>
          <w:rtl w:val="0"/>
        </w:rPr>
        <w:t xml:space="preserve">, </w:t>
      </w:r>
      <m:oMath>
        <m:sSubSup>
          <m:sSubSupPr>
            <m:ctrlPr>
              <w:rPr>
                <w:rFonts w:ascii="Cambria Math" w:cs="Cambria Math" w:eastAsia="Cambria Math" w:hAnsi="Cambria Math"/>
              </w:rPr>
            </m:ctrlPr>
          </m:sSubSupPr>
          <m:e>
            <m:r>
              <w:rPr>
                <w:rFonts w:ascii="Cambria Math" w:cs="Cambria Math" w:eastAsia="Cambria Math" w:hAnsi="Cambria Math"/>
              </w:rPr>
              <m:t xml:space="preserve">b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j</m:t>
            </m:r>
          </m:sub>
          <m:sup>
            <m:r>
              <w:rPr>
                <w:rFonts w:ascii="Cambria Math" w:cs="Cambria Math" w:eastAsia="Cambria Math" w:hAnsi="Cambria Math"/>
              </w:rPr>
              <m:t xml:space="preserve">*</m:t>
            </m:r>
          </m:sup>
        </m:sSubSup>
        <m:r>
          <w:rPr>
            <w:rFonts w:ascii="Cambria Math" w:cs="Cambria Math" w:eastAsia="Cambria Math" w:hAnsi="Cambria Math"/>
          </w:rPr>
          <m:t xml:space="preserve">=A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b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j</m:t>
            </m:r>
          </m:sub>
        </m:sSub>
        <m:r>
          <w:rPr>
            <w:rFonts w:ascii="Cambria Math" w:cs="Cambria Math" w:eastAsia="Cambria Math" w:hAnsi="Cambria Math"/>
          </w:rPr>
          <m:t xml:space="preserve">+B</m:t>
        </m:r>
      </m:oMath>
      <w:r w:rsidDel="00000000" w:rsidR="00000000" w:rsidRPr="00000000">
        <w:rPr>
          <w:rtl w:val="0"/>
        </w:rPr>
        <w:t xml:space="preserve">, y </w:t>
      </w:r>
      <m:oMath>
        <m:sSubSup>
          <m:sSubSupPr>
            <m:ctrlPr>
              <w:rPr>
                <w:rFonts w:ascii="Cambria Math" w:cs="Cambria Math" w:eastAsia="Cambria Math" w:hAnsi="Cambria Math"/>
              </w:rPr>
            </m:ctrlPr>
          </m:sSubSupPr>
          <m:e>
            <m:r>
              <w:rPr>
                <w:rFonts w:ascii="Cambria Math" w:cs="Cambria Math" w:eastAsia="Cambria Math" w:hAnsi="Cambria Math"/>
              </w:rPr>
              <m:t xml:space="preserve">a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j</m:t>
            </m:r>
          </m:sub>
          <m:sup>
            <m:r>
              <w:rPr>
                <w:rFonts w:ascii="Cambria Math" w:cs="Cambria Math" w:eastAsia="Cambria Math" w:hAnsi="Cambria Math"/>
              </w:rPr>
              <m:t xml:space="preserve">*</m:t>
            </m:r>
          </m:sup>
        </m:sSubSup>
        <m:r>
          <w:rPr>
            <w:rFonts w:ascii="Cambria Math" w:cs="Cambria Math" w:eastAsia="Cambria Math" w:hAnsi="Cambria Math"/>
          </w:rPr>
          <m:t xml:space="preserve">=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a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j</m:t>
            </m:r>
          </m:sub>
        </m:sSub>
        <m:r>
          <w:rPr>
            <w:rFonts w:ascii="Cambria Math" w:cs="Cambria Math" w:eastAsia="Cambria Math" w:hAnsi="Cambria Math"/>
          </w:rPr>
          <m:t xml:space="preserve">/A</m:t>
        </m:r>
      </m:oMath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numPr>
          <w:ilvl w:val="0"/>
          <w:numId w:val="20"/>
        </w:numPr>
        <w:ind w:left="720" w:hanging="480"/>
        <w:rPr/>
      </w:pPr>
      <w:r w:rsidDel="00000000" w:rsidR="00000000" w:rsidRPr="00000000">
        <w:rPr>
          <w:rtl w:val="0"/>
        </w:rPr>
        <w:t xml:space="preserve">Esta es la razón técnica por la que necesitamos establecer la escala del rasgo latente al estimar modelos psicométricos</w:t>
      </w:r>
    </w:p>
    <w:p w:rsidR="00000000" w:rsidDel="00000000" w:rsidP="00000000" w:rsidRDefault="00000000" w:rsidRPr="00000000" w14:paraId="00000109">
      <w:pPr>
        <w:numPr>
          <w:ilvl w:val="0"/>
          <w:numId w:val="20"/>
        </w:numPr>
        <w:ind w:left="720" w:hanging="480"/>
        <w:rPr/>
      </w:pPr>
      <w:r w:rsidDel="00000000" w:rsidR="00000000" w:rsidRPr="00000000">
        <w:rPr>
          <w:rtl w:val="0"/>
        </w:rPr>
        <w:t xml:space="preserve">Establecer que </w:t>
      </w:r>
      <m:oMath>
        <m:r>
          <m:t>θ</m:t>
        </m:r>
        <m:r>
          <m:t>∼</m:t>
        </m:r>
        <m:r>
          <w:rPr>
            <w:rFonts w:ascii="Cambria Math" w:cs="Cambria Math" w:eastAsia="Cambria Math" w:hAnsi="Cambria Math"/>
          </w:rPr>
          <m:t xml:space="preserve">N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</w:rPr>
            </m:ctrlPr>
          </m:dPr>
          <m:e>
            <m:r>
              <w:rPr>
                <w:rFonts w:ascii="Cambria Math" w:cs="Cambria Math" w:eastAsia="Cambria Math" w:hAnsi="Cambria Math"/>
              </w:rPr>
              <m:t xml:space="preserve">0,1</m:t>
            </m:r>
          </m:e>
        </m:d>
      </m:oMath>
      <w:r w:rsidDel="00000000" w:rsidR="00000000" w:rsidRPr="00000000">
        <w:rPr>
          <w:rtl w:val="0"/>
        </w:rPr>
        <w:t xml:space="preserve"> implica que </w:t>
      </w:r>
      <m:oMath>
        <m:r>
          <w:rPr>
            <w:rFonts w:ascii="Cambria Math" w:cs="Cambria Math" w:eastAsia="Cambria Math" w:hAnsi="Cambria Math"/>
          </w:rPr>
          <m:t xml:space="preserve">A=1</m:t>
        </m:r>
      </m:oMath>
      <w:r w:rsidDel="00000000" w:rsidR="00000000" w:rsidRPr="00000000">
        <w:rPr>
          <w:rtl w:val="0"/>
        </w:rPr>
        <w:t xml:space="preserve"> y </w:t>
      </w:r>
      <m:oMath>
        <m:r>
          <w:rPr>
            <w:rFonts w:ascii="Cambria Math" w:cs="Cambria Math" w:eastAsia="Cambria Math" w:hAnsi="Cambria Math"/>
          </w:rPr>
          <m:t xml:space="preserve">B=0</m:t>
        </m:r>
      </m:oMath>
      <w:r w:rsidDel="00000000" w:rsidR="00000000" w:rsidRPr="00000000">
        <w:rPr>
          <w:rtl w:val="0"/>
        </w:rPr>
        <w:t xml:space="preserve">, lo cual resuelve el problema</w:t>
      </w:r>
    </w:p>
    <w:bookmarkStart w:colFirst="0" w:colLast="0" w:name="bookmark=id.3l18frh" w:id="53"/>
    <w:bookmarkEnd w:id="53"/>
    <w:p w:rsidR="00000000" w:rsidDel="00000000" w:rsidP="00000000" w:rsidRDefault="00000000" w:rsidRPr="00000000" w14:paraId="0000010A">
      <w:pPr>
        <w:pStyle w:val="Heading2"/>
        <w:rPr/>
      </w:pPr>
      <w:r w:rsidDel="00000000" w:rsidR="00000000" w:rsidRPr="00000000">
        <w:rPr>
          <w:rtl w:val="0"/>
        </w:rPr>
        <w:t xml:space="preserve">Implicaciones de la escala para la prueba de Lord</w:t>
      </w:r>
    </w:p>
    <w:p w:rsidR="00000000" w:rsidDel="00000000" w:rsidP="00000000" w:rsidRDefault="00000000" w:rsidRPr="00000000" w14:paraId="0000010B">
      <w:pPr>
        <w:numPr>
          <w:ilvl w:val="0"/>
          <w:numId w:val="11"/>
        </w:numPr>
        <w:ind w:left="720" w:hanging="480"/>
        <w:rPr/>
      </w:pPr>
      <w:r w:rsidDel="00000000" w:rsidR="00000000" w:rsidRPr="00000000">
        <w:rPr>
          <w:rtl w:val="0"/>
        </w:rPr>
        <w:t xml:space="preserve">Si escalamos el rasgo latente para tener la misma media  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m:t>μ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g</m:t>
            </m:r>
          </m:sub>
        </m:sSub>
      </m:oMath>
      <w:r w:rsidDel="00000000" w:rsidR="00000000" w:rsidRPr="00000000">
        <w:rPr>
          <w:rtl w:val="0"/>
        </w:rPr>
        <w:t xml:space="preserve"> y varianza 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m:t>σ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g</m:t>
            </m:r>
          </m:sub>
        </m:sSub>
      </m:oMath>
      <w:r w:rsidDel="00000000" w:rsidR="00000000" w:rsidRPr="00000000">
        <w:rPr>
          <w:rtl w:val="0"/>
        </w:rPr>
        <w:t xml:space="preserve"> en ambos grupos, esto tiene implicaciones para probar los parámetros del modelo</w:t>
      </w:r>
    </w:p>
    <w:p w:rsidR="00000000" w:rsidDel="00000000" w:rsidP="00000000" w:rsidRDefault="00000000" w:rsidRPr="00000000" w14:paraId="0000010C">
      <w:pPr>
        <w:numPr>
          <w:ilvl w:val="0"/>
          <w:numId w:val="11"/>
        </w:numPr>
        <w:ind w:left="720" w:hanging="480"/>
        <w:rPr/>
      </w:pPr>
      <w:r w:rsidDel="00000000" w:rsidR="00000000" w:rsidRPr="00000000">
        <w:rPr>
          <w:rtl w:val="0"/>
        </w:rPr>
        <w:t xml:space="preserve">Las transformaciones de escala son</w:t>
        <w:br w:type="textWrapping"/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Introduciendo los parámetros de los ítems reescalados en la prueba de Lord</w:t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Conclusión: Si hay impacto en la media o la varianza del rasgo latente, la prueba de Lord está sesgada</w:t>
      </w:r>
    </w:p>
    <w:bookmarkStart w:colFirst="0" w:colLast="0" w:name="bookmark=id.206ipza" w:id="54"/>
    <w:bookmarkEnd w:id="54"/>
    <w:p w:rsidR="00000000" w:rsidDel="00000000" w:rsidP="00000000" w:rsidRDefault="00000000" w:rsidRPr="00000000" w14:paraId="00000111">
      <w:pPr>
        <w:pStyle w:val="Heading2"/>
        <w:rPr/>
      </w:pPr>
      <w:r w:rsidDel="00000000" w:rsidR="00000000" w:rsidRPr="00000000">
        <w:rPr>
          <w:rtl w:val="0"/>
        </w:rPr>
        <w:t xml:space="preserve">¿Cómo resolvemos el problema de escala?</w:t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Paso 1. Escalar arbitrariamente el rasgo latente en el "grupo de referencia"</w:t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Justificado porque los modelos TRI para un solo grupo están identificados solo hasta una transformación lineal del rasgo latente</w:t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Paso 2. Suponer que (algunos de) los parámetros de los ítems son iguales entre grupos</w:t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1"/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Estos ítems se llaman anclas</w:t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1"/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Basta para escalar el rasgo latente en el grupo de comparación}</w:t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1"/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p. ej., establecer </w:t>
      </w: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b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0i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b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1i</m:t>
            </m:r>
          </m:sub>
        </m:sSub>
      </m:oMath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para al menos 2 ítems y resolver para </w:t>
      </w: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m:t>μ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</m:t>
            </m:r>
          </m:sub>
        </m:sSub>
      </m:oMath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y </w:t>
      </w: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m:t>σ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</m:t>
            </m:r>
          </m:sub>
        </m:sSub>
      </m:oMath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en la diapositiva anterior</w:t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Conclusión: Necesitamos saber los ítems sin FDI (anclas) para escalar el rasgo latente</w:t>
      </w:r>
    </w:p>
    <w:bookmarkStart w:colFirst="0" w:colLast="0" w:name="bookmark=id.4k668n3" w:id="55"/>
    <w:bookmarkEnd w:id="55"/>
    <w:p w:rsidR="00000000" w:rsidDel="00000000" w:rsidP="00000000" w:rsidRDefault="00000000" w:rsidRPr="00000000" w14:paraId="00000119">
      <w:pPr>
        <w:pStyle w:val="Heading2"/>
        <w:rPr/>
      </w:pPr>
      <w:r w:rsidDel="00000000" w:rsidR="00000000" w:rsidRPr="00000000">
        <w:rPr>
          <w:rtl w:val="0"/>
        </w:rPr>
        <w:t xml:space="preserve">La “naturaleza circular” del FDI</w:t>
      </w:r>
    </w:p>
    <w:p w:rsidR="00000000" w:rsidDel="00000000" w:rsidP="00000000" w:rsidRDefault="00000000" w:rsidRPr="00000000" w14:paraId="0000011A">
      <w:pPr>
        <w:numPr>
          <w:ilvl w:val="0"/>
          <w:numId w:val="15"/>
        </w:numPr>
        <w:ind w:left="720" w:hanging="480"/>
        <w:rPr/>
      </w:pPr>
      <w:r w:rsidDel="00000000" w:rsidR="00000000" w:rsidRPr="00000000">
        <w:rPr>
          <w:rtl w:val="0"/>
        </w:rPr>
        <w:t xml:space="preserve">El problema descrito ha sido referido como la naturaleza circular del FDI (Angoff, 198)</w:t>
      </w:r>
    </w:p>
    <w:p w:rsidR="00000000" w:rsidDel="00000000" w:rsidP="00000000" w:rsidRDefault="00000000" w:rsidRPr="00000000" w14:paraId="0000011B">
      <w:pPr>
        <w:numPr>
          <w:ilvl w:val="1"/>
          <w:numId w:val="16"/>
        </w:numPr>
        <w:ind w:left="1440" w:hanging="480"/>
        <w:rPr/>
      </w:pPr>
      <w:r w:rsidDel="00000000" w:rsidR="00000000" w:rsidRPr="00000000">
        <w:rPr>
          <w:rtl w:val="0"/>
        </w:rPr>
        <w:t xml:space="preserve">Queremos comparar el valor de los parámetros del modelo entre grupos</w:t>
      </w:r>
    </w:p>
    <w:p w:rsidR="00000000" w:rsidDel="00000000" w:rsidP="00000000" w:rsidRDefault="00000000" w:rsidRPr="00000000" w14:paraId="0000011C">
      <w:pPr>
        <w:numPr>
          <w:ilvl w:val="1"/>
          <w:numId w:val="16"/>
        </w:numPr>
        <w:ind w:left="1440" w:hanging="480"/>
        <w:rPr/>
      </w:pPr>
      <w:r w:rsidDel="00000000" w:rsidR="00000000" w:rsidRPr="00000000">
        <w:rPr>
          <w:rtl w:val="0"/>
        </w:rPr>
        <w:t xml:space="preserve">Para hacer esto debemos escalar el rasgo latente en ambos grupos</w:t>
      </w:r>
    </w:p>
    <w:p w:rsidR="00000000" w:rsidDel="00000000" w:rsidP="00000000" w:rsidRDefault="00000000" w:rsidRPr="00000000" w14:paraId="0000011D">
      <w:pPr>
        <w:numPr>
          <w:ilvl w:val="1"/>
          <w:numId w:val="16"/>
        </w:numPr>
        <w:ind w:left="1440" w:hanging="480"/>
        <w:rPr/>
      </w:pPr>
      <w:r w:rsidDel="00000000" w:rsidR="00000000" w:rsidRPr="00000000">
        <w:rPr>
          <w:rtl w:val="0"/>
        </w:rPr>
        <w:t xml:space="preserve">Para escalar el rasgo latente, debemos suponer que algunos parámetros del modelo son iguales entre grupos</w:t>
      </w:r>
    </w:p>
    <w:p w:rsidR="00000000" w:rsidDel="00000000" w:rsidP="00000000" w:rsidRDefault="00000000" w:rsidRPr="00000000" w14:paraId="0000011E">
      <w:pPr>
        <w:numPr>
          <w:ilvl w:val="1"/>
          <w:numId w:val="16"/>
        </w:numPr>
        <w:ind w:left="1440" w:hanging="480"/>
        <w:rPr/>
      </w:pPr>
      <w:r w:rsidDel="00000000" w:rsidR="00000000" w:rsidRPr="00000000">
        <w:rPr>
          <w:rtl w:val="0"/>
        </w:rPr>
        <w:t xml:space="preserve">¡Pero esto es lo que queríamos probar en primer lugar!</w:t>
      </w:r>
    </w:p>
    <w:bookmarkStart w:colFirst="0" w:colLast="0" w:name="bookmark=id.2zbgiuw" w:id="56"/>
    <w:bookmarkEnd w:id="56"/>
    <w:p w:rsidR="00000000" w:rsidDel="00000000" w:rsidP="00000000" w:rsidRDefault="00000000" w:rsidRPr="00000000" w14:paraId="0000011F">
      <w:pPr>
        <w:pStyle w:val="Heading2"/>
        <w:rPr/>
      </w:pPr>
      <w:r w:rsidDel="00000000" w:rsidR="00000000" w:rsidRPr="00000000">
        <w:rPr>
          <w:rtl w:val="0"/>
        </w:rPr>
        <w:t xml:space="preserve">Ítems Ancla</w:t>
      </w:r>
    </w:p>
    <w:p w:rsidR="00000000" w:rsidDel="00000000" w:rsidP="00000000" w:rsidRDefault="00000000" w:rsidRPr="00000000" w14:paraId="00000120">
      <w:pPr>
        <w:numPr>
          <w:ilvl w:val="0"/>
          <w:numId w:val="31"/>
        </w:numPr>
        <w:ind w:left="720" w:hanging="480"/>
        <w:rPr/>
      </w:pPr>
      <w:r w:rsidDel="00000000" w:rsidR="00000000" w:rsidRPr="00000000">
        <w:rPr>
          <w:rtl w:val="0"/>
        </w:rPr>
        <w:t xml:space="preserve">En la práctica, el problema se resuelve eligiendo un "conjunto ancla" de ítems</w:t>
      </w:r>
    </w:p>
    <w:p w:rsidR="00000000" w:rsidDel="00000000" w:rsidP="00000000" w:rsidRDefault="00000000" w:rsidRPr="00000000" w14:paraId="00000121">
      <w:pPr>
        <w:numPr>
          <w:ilvl w:val="0"/>
          <w:numId w:val="31"/>
        </w:numPr>
        <w:ind w:left="720" w:hanging="480"/>
        <w:rPr/>
      </w:pPr>
      <w:r w:rsidDel="00000000" w:rsidR="00000000" w:rsidRPr="00000000">
        <w:rPr>
          <w:rtl w:val="0"/>
        </w:rPr>
        <w:t xml:space="preserve">Las anclas son ítems que tratamos como libres de FDI al probar otros ítems para FDI</w:t>
      </w:r>
    </w:p>
    <w:p w:rsidR="00000000" w:rsidDel="00000000" w:rsidP="00000000" w:rsidRDefault="00000000" w:rsidRPr="00000000" w14:paraId="00000122">
      <w:pPr>
        <w:numPr>
          <w:ilvl w:val="0"/>
          <w:numId w:val="31"/>
        </w:numPr>
        <w:ind w:left="720" w:hanging="480"/>
        <w:rPr/>
      </w:pPr>
      <w:r w:rsidDel="00000000" w:rsidR="00000000" w:rsidRPr="00000000">
        <w:rPr>
          <w:rtl w:val="0"/>
        </w:rPr>
        <w:t xml:space="preserve">Hay muchas estrategias, heurísticas, etc., para elegir anclas</w:t>
      </w:r>
    </w:p>
    <w:p w:rsidR="00000000" w:rsidDel="00000000" w:rsidP="00000000" w:rsidRDefault="00000000" w:rsidRPr="00000000" w14:paraId="00000123">
      <w:pPr>
        <w:numPr>
          <w:ilvl w:val="0"/>
          <w:numId w:val="31"/>
        </w:numPr>
        <w:ind w:left="720" w:hanging="480"/>
        <w:rPr/>
      </w:pPr>
      <w:r w:rsidDel="00000000" w:rsidR="00000000" w:rsidRPr="00000000">
        <w:rPr>
          <w:rtl w:val="0"/>
        </w:rPr>
        <w:t xml:space="preserve">Todas estas tienen falencias: la selección de ítems ancla es una limitación de los métodos tradicionales para el análisis de FDI</w:t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1"/>
        <w:numPr>
          <w:ilvl w:val="1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Más sobre esto en la última parte de este taller</w:t>
      </w:r>
    </w:p>
    <w:bookmarkStart w:colFirst="0" w:colLast="0" w:name="bookmark=id.1egqt2p" w:id="57"/>
    <w:bookmarkEnd w:id="57"/>
    <w:p w:rsidR="00000000" w:rsidDel="00000000" w:rsidP="00000000" w:rsidRDefault="00000000" w:rsidRPr="00000000" w14:paraId="00000125">
      <w:pPr>
        <w:pStyle w:val="Heading2"/>
        <w:rPr/>
      </w:pPr>
      <w:r w:rsidDel="00000000" w:rsidR="00000000" w:rsidRPr="00000000">
        <w:rPr>
          <w:rtl w:val="0"/>
        </w:rPr>
        <w:t xml:space="preserve">Purificación y Refinamiento en Dos Etapas</w:t>
      </w:r>
    </w:p>
    <w:p w:rsidR="00000000" w:rsidDel="00000000" w:rsidP="00000000" w:rsidRDefault="00000000" w:rsidRPr="00000000" w14:paraId="00000126">
      <w:pPr>
        <w:numPr>
          <w:ilvl w:val="0"/>
          <w:numId w:val="33"/>
        </w:numPr>
        <w:ind w:left="720" w:hanging="480"/>
        <w:rPr/>
      </w:pPr>
      <w:r w:rsidDel="00000000" w:rsidR="00000000" w:rsidRPr="00000000">
        <w:rPr>
          <w:rtl w:val="0"/>
        </w:rPr>
        <w:t xml:space="preserve">Un enfoque ampliamente utilizado para elegir anclas es llamado purificación y refinamiento</w:t>
      </w:r>
    </w:p>
    <w:p w:rsidR="00000000" w:rsidDel="00000000" w:rsidP="00000000" w:rsidRDefault="00000000" w:rsidRPr="00000000" w14:paraId="00000127">
      <w:pPr>
        <w:numPr>
          <w:ilvl w:val="1"/>
          <w:numId w:val="34"/>
        </w:numPr>
        <w:ind w:left="1440" w:hanging="480"/>
        <w:rPr/>
      </w:pPr>
      <w:r w:rsidDel="00000000" w:rsidR="00000000" w:rsidRPr="00000000">
        <w:rPr>
          <w:rtl w:val="0"/>
        </w:rPr>
        <w:t xml:space="preserve">Etapa 1. Probar cada ítem asumiendo que todos los demás ítems son anclas. Antes de comenzar la etapa dos, eliminar cualquier ítem con FDI del conjunto ancla ("purificación")</w:t>
      </w:r>
    </w:p>
    <w:p w:rsidR="00000000" w:rsidDel="00000000" w:rsidP="00000000" w:rsidRDefault="00000000" w:rsidRPr="00000000" w14:paraId="00000128">
      <w:pPr>
        <w:numPr>
          <w:ilvl w:val="1"/>
          <w:numId w:val="34"/>
        </w:numPr>
        <w:ind w:left="1440" w:hanging="480"/>
        <w:rPr/>
      </w:pPr>
      <w:r w:rsidDel="00000000" w:rsidR="00000000" w:rsidRPr="00000000">
        <w:rPr>
          <w:rtl w:val="0"/>
        </w:rPr>
        <w:t xml:space="preserve">Etapa 2. Probar los ítems sin FDI nuevamente, usando el conjunto ancla purificado</w:t>
      </w:r>
    </w:p>
    <w:p w:rsidR="00000000" w:rsidDel="00000000" w:rsidP="00000000" w:rsidRDefault="00000000" w:rsidRPr="00000000" w14:paraId="00000129">
      <w:pPr>
        <w:numPr>
          <w:ilvl w:val="0"/>
          <w:numId w:val="33"/>
        </w:numPr>
        <w:ind w:left="720" w:hanging="480"/>
        <w:rPr/>
      </w:pPr>
      <w:r w:rsidDel="00000000" w:rsidR="00000000" w:rsidRPr="00000000">
        <w:rPr>
          <w:rtl w:val="0"/>
        </w:rPr>
        <w:t xml:space="preserve">Se puede repetir según se desee</w:t>
      </w:r>
    </w:p>
    <w:p w:rsidR="00000000" w:rsidDel="00000000" w:rsidP="00000000" w:rsidRDefault="00000000" w:rsidRPr="00000000" w14:paraId="0000012A">
      <w:pPr>
        <w:numPr>
          <w:ilvl w:val="0"/>
          <w:numId w:val="33"/>
        </w:numPr>
        <w:ind w:left="720" w:hanging="480"/>
        <w:rPr/>
      </w:pPr>
      <w:r w:rsidDel="00000000" w:rsidR="00000000" w:rsidRPr="00000000">
        <w:rPr>
          <w:rtl w:val="0"/>
        </w:rPr>
        <w:t xml:space="preserve">El procedimiento es exploratorio, implica muchas pruebas de FDI, ajustando modelos con diferentes restricciones, …</w:t>
      </w:r>
    </w:p>
    <w:bookmarkStart w:colFirst="0" w:colLast="0" w:name="bookmark=id.3ygebqi" w:id="58"/>
    <w:bookmarkEnd w:id="58"/>
    <w:p w:rsidR="00000000" w:rsidDel="00000000" w:rsidP="00000000" w:rsidRDefault="00000000" w:rsidRPr="00000000" w14:paraId="0000012B">
      <w:pPr>
        <w:pStyle w:val="Heading1"/>
        <w:rPr/>
      </w:pPr>
      <w:r w:rsidDel="00000000" w:rsidR="00000000" w:rsidRPr="00000000">
        <w:rPr>
          <w:rtl w:val="0"/>
        </w:rPr>
        <w:t xml:space="preserve">Prueba de FDI con la Prueba de Razón de Verosimilitud (LR)</w:t>
      </w:r>
    </w:p>
    <w:bookmarkStart w:colFirst="0" w:colLast="0" w:name="bookmark=id.2dlolyb" w:id="59"/>
    <w:bookmarkEnd w:id="59"/>
    <w:p w:rsidR="00000000" w:rsidDel="00000000" w:rsidP="00000000" w:rsidRDefault="00000000" w:rsidRPr="00000000" w14:paraId="0000012C">
      <w:pPr>
        <w:pStyle w:val="Heading2"/>
        <w:rPr/>
      </w:pPr>
      <w:r w:rsidDel="00000000" w:rsidR="00000000" w:rsidRPr="00000000">
        <w:rPr>
          <w:rtl w:val="0"/>
        </w:rPr>
        <w:t xml:space="preserve">La Prueba LR</w:t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prueba LR usa un modelo TRI multi-grupo para probar si los parámetros de un ítem difieren entre grupos</w:t>
      </w:r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Esta prueba es aplicable a cualquier modelo de TRI</w:t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1"/>
        <w:numPr>
          <w:ilvl w:val="1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 centrará en 2PL por simplicidad, pero la ilustración usará GRM</w:t>
      </w:r>
    </w:p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Este enfoque está sujeto a inquietudes sobre la selección de ítems ancla mencionada anteriormente</w:t>
      </w:r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1"/>
        <w:numPr>
          <w:ilvl w:val="1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Necesitamos elegir un conjunto de ítems que se cree no tienen FDI al probar cuáles ítems sí tienen FDI</w:t>
      </w:r>
    </w:p>
    <w:bookmarkStart w:colFirst="0" w:colLast="0" w:name="bookmark=id.sqyw64" w:id="60"/>
    <w:bookmarkEnd w:id="60"/>
    <w:p w:rsidR="00000000" w:rsidDel="00000000" w:rsidP="00000000" w:rsidRDefault="00000000" w:rsidRPr="00000000" w14:paraId="00000132">
      <w:pPr>
        <w:pStyle w:val="Heading2"/>
        <w:rPr/>
      </w:pPr>
      <w:r w:rsidDel="00000000" w:rsidR="00000000" w:rsidRPr="00000000">
        <w:rPr>
          <w:rtl w:val="0"/>
        </w:rPr>
        <w:t xml:space="preserve">Prueba LR para 2PL</w:t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Escriba el 2PL en dos grupos de la siguiente manera:</w:t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numPr>
          <w:ilvl w:val="0"/>
          <w:numId w:val="23"/>
        </w:numPr>
        <w:ind w:left="720" w:hanging="480"/>
        <w:rPr/>
      </w:pPr>
      <w:r w:rsidDel="00000000" w:rsidR="00000000" w:rsidRPr="00000000">
        <w:rPr>
          <w:rtl w:val="0"/>
        </w:rPr>
        <w:t xml:space="preserve">El segundo subíndice en las FRI y el parámetros de los ítems indica el grupo de referencia (0) o el grupo de comparación (1)</w:t>
      </w:r>
    </w:p>
    <w:p w:rsidR="00000000" w:rsidDel="00000000" w:rsidP="00000000" w:rsidRDefault="00000000" w:rsidRPr="00000000" w14:paraId="00000136">
      <w:pPr>
        <w:numPr>
          <w:ilvl w:val="0"/>
          <w:numId w:val="23"/>
        </w:numPr>
        <w:ind w:left="720" w:hanging="480"/>
        <w:rPr/>
      </w:pPr>
      <w:r w:rsidDel="00000000" w:rsidR="00000000" w:rsidRPr="00000000">
        <w:rPr>
          <w:rtl w:val="0"/>
        </w:rPr>
        <w:t xml:space="preserve">En el grupo de referencia, escalamos el rasgo latente arbitrariamente</w:t>
      </w:r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1"/>
        <w:numPr>
          <w:ilvl w:val="1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Usualmente, estandarizado para tener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E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θ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=0</m:t>
        </m:r>
      </m:oMath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y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V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θ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=1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numPr>
          <w:ilvl w:val="0"/>
          <w:numId w:val="23"/>
        </w:numPr>
        <w:ind w:left="720" w:hanging="480"/>
        <w:rPr/>
      </w:pPr>
      <w:r w:rsidDel="00000000" w:rsidR="00000000" w:rsidRPr="00000000">
        <w:rPr>
          <w:rtl w:val="0"/>
        </w:rPr>
        <w:t xml:space="preserve">En el grupo de comparación estimamos la media y la varianza del rasgo latente</w:t>
      </w:r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1"/>
        <w:numPr>
          <w:ilvl w:val="1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justificación para esta configuración se discutió anteriormente al abordar el problema de escalado multi-grupo</w:t>
      </w:r>
    </w:p>
    <w:bookmarkStart w:colFirst="0" w:colLast="0" w:name="bookmark=id.3cqmetx" w:id="61"/>
    <w:bookmarkEnd w:id="61"/>
    <w:p w:rsidR="00000000" w:rsidDel="00000000" w:rsidP="00000000" w:rsidRDefault="00000000" w:rsidRPr="00000000" w14:paraId="0000013A">
      <w:pPr>
        <w:pStyle w:val="Heading2"/>
        <w:rPr/>
      </w:pPr>
      <w:r w:rsidDel="00000000" w:rsidR="00000000" w:rsidRPr="00000000">
        <w:rPr>
          <w:rtl w:val="0"/>
        </w:rPr>
        <w:t xml:space="preserve">Prueba LR para 2PL</w:t>
      </w:r>
    </w:p>
    <w:p w:rsidR="00000000" w:rsidDel="00000000" w:rsidP="00000000" w:rsidRDefault="00000000" w:rsidRPr="00000000" w14:paraId="0000013B">
      <w:pPr>
        <w:numPr>
          <w:ilvl w:val="0"/>
          <w:numId w:val="106"/>
        </w:numPr>
        <w:ind w:left="720" w:hanging="480"/>
        <w:rPr/>
      </w:pPr>
      <w:r w:rsidDel="00000000" w:rsidR="00000000" w:rsidRPr="00000000">
        <w:rPr>
          <w:rtl w:val="0"/>
        </w:rPr>
        <w:t xml:space="preserve">Para aplicar la prueba LR, estimamos los siguientes dos modelos</w:t>
      </w:r>
    </w:p>
    <w:p w:rsidR="00000000" w:rsidDel="00000000" w:rsidP="00000000" w:rsidRDefault="00000000" w:rsidRPr="00000000" w14:paraId="0000013C">
      <w:pPr>
        <w:numPr>
          <w:ilvl w:val="0"/>
          <w:numId w:val="106"/>
        </w:numPr>
        <w:ind w:left="720" w:hanging="480"/>
        <w:rPr/>
      </w:pPr>
      <w:r w:rsidDel="00000000" w:rsidR="00000000" w:rsidRPr="00000000">
        <w:rPr>
          <w:b w:val="1"/>
          <w:rtl w:val="0"/>
        </w:rPr>
        <w:t xml:space="preserve">Modelo 1</w:t>
      </w:r>
      <w:r w:rsidDel="00000000" w:rsidR="00000000" w:rsidRPr="00000000">
        <w:rPr>
          <w:rtl w:val="0"/>
        </w:rPr>
        <w:t xml:space="preserve">: El modelo anidado (más pequeño) se obtiene estableciendo todos los parámetros de los ítems iguales entre grupos</w:t>
      </w:r>
    </w:p>
    <w:p w:rsidR="00000000" w:rsidDel="00000000" w:rsidP="00000000" w:rsidRDefault="00000000" w:rsidRPr="00000000" w14:paraId="0000013D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j0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j1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 </m:t>
        </m:r>
        <m:r>
          <w:rPr>
            <w:rFonts w:ascii="Cambria" w:cs="Cambria" w:eastAsia="Cambria" w:hAnsi="Cambria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 y 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 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b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j0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b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j1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b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 </m:t>
        </m:r>
        <m:r>
          <w:rPr>
            <w:rFonts w:ascii="Cambria" w:cs="Cambria" w:eastAsia="Cambria" w:hAnsi="Cambria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para todos 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 j=1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>…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J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numPr>
          <w:ilvl w:val="0"/>
          <w:numId w:val="108"/>
        </w:numPr>
        <w:ind w:left="720" w:hanging="480"/>
        <w:rPr/>
      </w:pPr>
      <w:r w:rsidDel="00000000" w:rsidR="00000000" w:rsidRPr="00000000">
        <w:rPr>
          <w:rtl w:val="0"/>
        </w:rPr>
        <w:t xml:space="preserve">Igual que la </w:t>
      </w:r>
      <w:r w:rsidDel="00000000" w:rsidR="00000000" w:rsidRPr="00000000">
        <w:rPr>
          <w:b w:val="1"/>
          <w:rtl w:val="0"/>
        </w:rPr>
        <w:t xml:space="preserve">invarianza fuerte</w:t>
      </w:r>
      <w:r w:rsidDel="00000000" w:rsidR="00000000" w:rsidRPr="00000000">
        <w:rPr>
          <w:rtl w:val="0"/>
        </w:rPr>
        <w:t xml:space="preserve"> en el análisis factorial</w:t>
      </w:r>
    </w:p>
    <w:p w:rsidR="00000000" w:rsidDel="00000000" w:rsidP="00000000" w:rsidRDefault="00000000" w:rsidRPr="00000000" w14:paraId="0000013F">
      <w:pPr>
        <w:numPr>
          <w:ilvl w:val="0"/>
          <w:numId w:val="108"/>
        </w:numPr>
        <w:ind w:left="720" w:hanging="480"/>
        <w:rPr/>
      </w:pPr>
      <w:r w:rsidDel="00000000" w:rsidR="00000000" w:rsidRPr="00000000">
        <w:rPr>
          <w:b w:val="1"/>
          <w:rtl w:val="0"/>
        </w:rPr>
        <w:t xml:space="preserve">Modelo 2</w:t>
      </w:r>
      <w:r w:rsidDel="00000000" w:rsidR="00000000" w:rsidRPr="00000000">
        <w:rPr>
          <w:rtl w:val="0"/>
        </w:rPr>
        <w:t xml:space="preserve">: El modelo anidante (más grande) se obtiene permitiendo que los parámetros del ítem focal  varíen entre grupos:</w:t>
      </w:r>
    </w:p>
    <w:p w:rsidR="00000000" w:rsidDel="00000000" w:rsidP="00000000" w:rsidRDefault="00000000" w:rsidRPr="00000000" w14:paraId="00000140">
      <w:pPr>
        <w:jc w:val="center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j0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>≠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j1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 </m:t>
        </m:r>
        <m:r>
          <w:rPr>
            <w:rFonts w:ascii="Cambria" w:cs="Cambria" w:eastAsia="Cambria" w:hAnsi="Cambria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 y 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 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b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j0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>≠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b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j1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 </m:t>
        </m:r>
        <m:r>
          <w:rPr>
            <w:rFonts w:ascii="Cambria" w:cs="Cambria" w:eastAsia="Cambria" w:hAnsi="Cambria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para el 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ítem focal </m:t>
        </m:r>
        <m:r>
          <w:rPr>
            <w:rFonts w:ascii="Cambria" w:cs="Cambria" w:eastAsia="Cambria" w:hAnsi="Cambria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 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j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*</m:t>
            </m:r>
          </m:sup>
        </m:sSup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numPr>
          <w:ilvl w:val="0"/>
          <w:numId w:val="107"/>
        </w:numPr>
        <w:ind w:left="720" w:hanging="480"/>
        <w:rPr/>
      </w:pPr>
      <w:r w:rsidDel="00000000" w:rsidR="00000000" w:rsidRPr="00000000">
        <w:rPr>
          <w:rtl w:val="0"/>
        </w:rPr>
        <w:t xml:space="preserve">Note que no estamos requiriendo que los ítems sean desiguales, pueden ser iguales o desiguales, y simplemente permitimos que sean estimados libremente en cada grupo</w:t>
      </w:r>
    </w:p>
    <w:p w:rsidR="00000000" w:rsidDel="00000000" w:rsidP="00000000" w:rsidRDefault="00000000" w:rsidRPr="00000000" w14:paraId="00000142">
      <w:pPr>
        <w:numPr>
          <w:ilvl w:val="0"/>
          <w:numId w:val="107"/>
        </w:numPr>
        <w:ind w:left="720" w:hanging="480"/>
        <w:rPr/>
      </w:pPr>
      <w:r w:rsidDel="00000000" w:rsidR="00000000" w:rsidRPr="00000000">
        <w:rPr>
          <w:rtl w:val="0"/>
        </w:rPr>
        <w:t xml:space="preserve">El software automatiza el ajuste de estos modelos ítem por ítem</w:t>
      </w:r>
    </w:p>
    <w:bookmarkStart w:colFirst="0" w:colLast="0" w:name="bookmark=id.1rvwp1q" w:id="62"/>
    <w:bookmarkEnd w:id="62"/>
    <w:p w:rsidR="00000000" w:rsidDel="00000000" w:rsidP="00000000" w:rsidRDefault="00000000" w:rsidRPr="00000000" w14:paraId="00000143">
      <w:pPr>
        <w:pStyle w:val="Heading2"/>
        <w:rPr/>
      </w:pPr>
      <w:r w:rsidDel="00000000" w:rsidR="00000000" w:rsidRPr="00000000">
        <w:rPr>
          <w:rtl w:val="0"/>
        </w:rPr>
        <w:t xml:space="preserve">Prueba LR para 2PL</w:t>
      </w:r>
    </w:p>
    <w:p w:rsidR="00000000" w:rsidDel="00000000" w:rsidP="00000000" w:rsidRDefault="00000000" w:rsidRPr="00000000" w14:paraId="00000144">
      <w:pPr>
        <w:numPr>
          <w:ilvl w:val="0"/>
          <w:numId w:val="98"/>
        </w:numPr>
        <w:ind w:left="720" w:hanging="480"/>
        <w:rPr/>
      </w:pPr>
      <w:r w:rsidDel="00000000" w:rsidR="00000000" w:rsidRPr="00000000">
        <w:rPr>
          <w:rtl w:val="0"/>
        </w:rPr>
        <w:t xml:space="preserve">La prueba LR procede comparando la verosimilitud del modelo anidado con el modelo anidante</w:t>
      </w:r>
    </w:p>
    <w:p w:rsidR="00000000" w:rsidDel="00000000" w:rsidP="00000000" w:rsidRDefault="00000000" w:rsidRPr="00000000" w14:paraId="00000145">
      <w:pPr>
        <w:numPr>
          <w:ilvl w:val="0"/>
          <w:numId w:val="98"/>
        </w:numPr>
        <w:ind w:left="720" w:hanging="480"/>
        <w:rPr/>
      </w:pPr>
      <w:r w:rsidDel="00000000" w:rsidR="00000000" w:rsidRPr="00000000">
        <w:rPr>
          <w:rtl w:val="0"/>
        </w:rPr>
        <w:t xml:space="preserve">Cuando las restricciones impuestas por el modelo anidado son válidas (es decir, si no hay FDI en el ítem), esta prueba tiene una distribución chi-cuadrado con grados de libertad igual al número de parámetros restringidos</w:t>
      </w:r>
    </w:p>
    <w:p w:rsidR="00000000" w:rsidDel="00000000" w:rsidP="00000000" w:rsidRDefault="00000000" w:rsidRPr="00000000" w14:paraId="00000146">
      <w:pPr>
        <w:numPr>
          <w:ilvl w:val="0"/>
          <w:numId w:val="98"/>
        </w:numPr>
        <w:ind w:left="720" w:hanging="480"/>
        <w:rPr/>
      </w:pPr>
      <w:r w:rsidDel="00000000" w:rsidR="00000000" w:rsidRPr="00000000">
        <w:rPr>
          <w:rtl w:val="0"/>
        </w:rPr>
        <w:t xml:space="preserve">Si la prueba LR de FDI es significativa, concluimos que el ítem está sesgado</w:t>
      </w:r>
    </w:p>
    <w:p w:rsidR="00000000" w:rsidDel="00000000" w:rsidP="00000000" w:rsidRDefault="00000000" w:rsidRPr="00000000" w14:paraId="00000147">
      <w:pPr>
        <w:numPr>
          <w:ilvl w:val="0"/>
          <w:numId w:val="98"/>
        </w:numPr>
        <w:ind w:left="720" w:hanging="480"/>
        <w:rPr/>
      </w:pPr>
      <w:r w:rsidDel="00000000" w:rsidR="00000000" w:rsidRPr="00000000">
        <w:rPr>
          <w:rtl w:val="0"/>
        </w:rPr>
        <w:t xml:space="preserve">Si no, entonces concluimos que el ítem no está sesgado</w:t>
      </w:r>
    </w:p>
    <w:bookmarkStart w:colFirst="0" w:colLast="0" w:name="bookmark=id.4bvk7pj" w:id="63"/>
    <w:bookmarkEnd w:id="63"/>
    <w:p w:rsidR="00000000" w:rsidDel="00000000" w:rsidP="00000000" w:rsidRDefault="00000000" w:rsidRPr="00000000" w14:paraId="00000148">
      <w:pPr>
        <w:pStyle w:val="Heading2"/>
        <w:rPr/>
      </w:pPr>
      <w:r w:rsidDel="00000000" w:rsidR="00000000" w:rsidRPr="00000000">
        <w:rPr>
          <w:rtl w:val="0"/>
        </w:rPr>
        <w:t xml:space="preserve">Invarianza Estricta: Código</w:t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1"/>
        <w:numPr>
          <w:ilvl w:val="0"/>
          <w:numId w:val="9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Paso 1. Estimar un modelo en el que las pendientes y los interceptos de los ítems son invariantes entre grupos (invarianza fuerte)</w:t>
      </w:r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1f3f5" w:val="clear"/>
        <w:spacing w:after="20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# Groups need to be a factor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gender &lt;-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factor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(cint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$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cfemale)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# Invariance constraints used by mirt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strong.invariance &lt;-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c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"free_mean"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"free_var"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"slopes"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"intercepts"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# Estimate model (can request SE using SE = T)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strong.mod &lt;-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multipleGroup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(depression_items,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                      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group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gender,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                      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itemtype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"graded"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                      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invariance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strong.invariance)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# View output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coef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(strong.mod,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IRTpars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T,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simplify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T)</w:t>
      </w:r>
      <w:r w:rsidDel="00000000" w:rsidR="00000000" w:rsidRPr="00000000">
        <w:rPr>
          <w:rtl w:val="0"/>
        </w:rPr>
      </w:r>
    </w:p>
    <w:bookmarkStart w:colFirst="0" w:colLast="0" w:name="bookmark=id.2r0uhxc" w:id="64"/>
    <w:bookmarkEnd w:id="64"/>
    <w:p w:rsidR="00000000" w:rsidDel="00000000" w:rsidP="00000000" w:rsidRDefault="00000000" w:rsidRPr="00000000" w14:paraId="0000014B">
      <w:pPr>
        <w:pStyle w:val="Heading2"/>
        <w:rPr/>
      </w:pPr>
      <w:r w:rsidDel="00000000" w:rsidR="00000000" w:rsidRPr="00000000">
        <w:rPr>
          <w:rtl w:val="0"/>
        </w:rPr>
        <w:t xml:space="preserve">Prueba de FDI usando la prueba LR: Resultados</w:t>
      </w:r>
    </w:p>
    <w:p w:rsidR="00000000" w:rsidDel="00000000" w:rsidP="00000000" w:rsidRDefault="00000000" w:rsidRPr="00000000" w14:paraId="000001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334000" cy="3644900"/>
            <wp:effectExtent b="0" l="0" r="0" t="0"/>
            <wp:docPr id="102442973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64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bookmarkStart w:colFirst="0" w:colLast="0" w:name="bookmark=id.1664s55" w:id="65"/>
    <w:bookmarkEnd w:id="65"/>
    <w:p w:rsidR="00000000" w:rsidDel="00000000" w:rsidP="00000000" w:rsidRDefault="00000000" w:rsidRPr="00000000" w14:paraId="0000014D">
      <w:pPr>
        <w:pStyle w:val="Heading2"/>
        <w:rPr/>
      </w:pPr>
      <w:r w:rsidDel="00000000" w:rsidR="00000000" w:rsidRPr="00000000">
        <w:rPr>
          <w:rtl w:val="0"/>
        </w:rPr>
        <w:t xml:space="preserve">Prueba de FDI usando la prueba LR: Código</w:t>
      </w:r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1"/>
        <w:numPr>
          <w:ilvl w:val="0"/>
          <w:numId w:val="10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Paso 2. Ejecutar análisis de FDI (sin purificación)</w:t>
      </w:r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1f3f5" w:val="clear"/>
        <w:spacing w:after="20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DIF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(strong.mod,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which.par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c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"a1"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"d1"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"d2"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"d3"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# &lt;- mirt notation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scheme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"drop"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# &lt;- drop item constraints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1f3f5" w:val="clear"/>
        <w:spacing w:after="20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groups converged     AIC   SABIC      HQ    BIC     X2 df     p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cint1     0,1      TRUE   3.113   9.344  10.370 22.047  4.887  4 0.299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cint2     0,1      TRUE   4.692  10.923  11.949 23.626  3.308  4 0.508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cint4     0,1      TRUE   3.169   9.400  10.425 22.102  4.831  4 0.305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cint11    0,1      TRUE   1.948   8.178   9.204 20.881  6.052  4 0.195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cint27    0,1      TRUE   0.629   6.860   7.886 19.563  7.371  4 0.118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cint28    0,1      TRUE   3.090   9.321  10.347 22.024   4.91  4 0.297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cint29    0,1      TRUE -23.411 -17.180 -16.154 -4.477 31.411  4     0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cint30    0,1      TRUE  -9.195  -2.964  -1.939  9.738 17.195  4 0.002</w:t>
      </w:r>
      <w:r w:rsidDel="00000000" w:rsidR="00000000" w:rsidRPr="00000000">
        <w:rPr>
          <w:rtl w:val="0"/>
        </w:rPr>
      </w:r>
    </w:p>
    <w:bookmarkStart w:colFirst="0" w:colLast="0" w:name="bookmark=id.3q5sasy" w:id="66"/>
    <w:bookmarkEnd w:id="66"/>
    <w:p w:rsidR="00000000" w:rsidDel="00000000" w:rsidP="00000000" w:rsidRDefault="00000000" w:rsidRPr="00000000" w14:paraId="00000151">
      <w:pPr>
        <w:pStyle w:val="Heading2"/>
        <w:rPr/>
      </w:pPr>
      <w:r w:rsidDel="00000000" w:rsidR="00000000" w:rsidRPr="00000000">
        <w:rPr>
          <w:rtl w:val="0"/>
        </w:rPr>
        <w:t xml:space="preserve">Prueba de FDI usando la prueba LR: Código</w:t>
      </w:r>
    </w:p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1"/>
        <w:numPr>
          <w:ilvl w:val="0"/>
          <w:numId w:val="9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Paso 2. Ejecutar análisis de FDI (con purificación)</w:t>
      </w:r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1f3f5" w:val="clear"/>
        <w:spacing w:after="20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DIF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(strong.mod,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which.par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c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"a1"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"d1"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"d2"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"d3"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),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scheme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"drop_sequential"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#&lt;- different scheme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seq_stat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.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05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# &lt;- Type I Error rate for DIF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max_run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2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# &lt;- two stages only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1f3f5" w:val="clear"/>
        <w:spacing w:after="20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Checking for DIF in 6 more items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Computing final DIF estimates...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1f3f5" w:val="clear"/>
        <w:spacing w:after="20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groups converged     AIC   SABIC      HQ    BIC     X2 df     p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cint29    0,1      TRUE -18.863 -12.632 -11.606  0.071 26.863  4     0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cint30    0,1      TRUE  -4.647   1.584   2.610 14.286 12.647  4 0.013</w:t>
      </w:r>
      <w:r w:rsidDel="00000000" w:rsidR="00000000" w:rsidRPr="00000000">
        <w:rPr>
          <w:rtl w:val="0"/>
        </w:rPr>
      </w:r>
    </w:p>
    <w:bookmarkStart w:colFirst="0" w:colLast="0" w:name="bookmark=id.25b2l0r" w:id="67"/>
    <w:bookmarkEnd w:id="67"/>
    <w:p w:rsidR="00000000" w:rsidDel="00000000" w:rsidP="00000000" w:rsidRDefault="00000000" w:rsidRPr="00000000" w14:paraId="00000156">
      <w:pPr>
        <w:pStyle w:val="Heading2"/>
        <w:rPr/>
      </w:pPr>
      <w:r w:rsidDel="00000000" w:rsidR="00000000" w:rsidRPr="00000000">
        <w:rPr>
          <w:rtl w:val="0"/>
        </w:rPr>
        <w:t xml:space="preserve">Resumen del ejemplo</w:t>
      </w:r>
    </w:p>
    <w:p w:rsidR="00000000" w:rsidDel="00000000" w:rsidP="00000000" w:rsidRDefault="00000000" w:rsidRPr="00000000" w14:paraId="00000157">
      <w:pPr>
        <w:numPr>
          <w:ilvl w:val="0"/>
          <w:numId w:val="102"/>
        </w:numPr>
        <w:ind w:left="720" w:hanging="480"/>
        <w:rPr/>
      </w:pPr>
      <w:r w:rsidDel="00000000" w:rsidR="00000000" w:rsidRPr="00000000">
        <w:rPr>
          <w:rtl w:val="0"/>
        </w:rPr>
        <w:t xml:space="preserve">El análisis de FDI identificó dos ítems que estaban sesgados con respecto al género</w:t>
      </w:r>
    </w:p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1"/>
        <w:numPr>
          <w:ilvl w:val="1"/>
          <w:numId w:val="10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CINT 29: “Ir a su habitación y llorar”</w:t>
      </w:r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1"/>
        <w:numPr>
          <w:ilvl w:val="1"/>
          <w:numId w:val="10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CINT 30: “Sentirse inquieto y caminar de un lado a otro”</w:t>
      </w:r>
    </w:p>
    <w:p w:rsidR="00000000" w:rsidDel="00000000" w:rsidP="00000000" w:rsidRDefault="00000000" w:rsidRPr="00000000" w14:paraId="0000015A">
      <w:pPr>
        <w:numPr>
          <w:ilvl w:val="0"/>
          <w:numId w:val="102"/>
        </w:numPr>
        <w:ind w:left="720" w:hanging="480"/>
        <w:rPr/>
      </w:pPr>
      <w:r w:rsidDel="00000000" w:rsidR="00000000" w:rsidRPr="00000000">
        <w:rPr>
          <w:rtl w:val="0"/>
        </w:rPr>
        <w:t xml:space="preserve">Más preguntas:</w:t>
      </w:r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1"/>
        <w:numPr>
          <w:ilvl w:val="1"/>
          <w:numId w:val="10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¿Dirección y tamaño del efecto?</w:t>
      </w:r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1"/>
        <w:numPr>
          <w:ilvl w:val="1"/>
          <w:numId w:val="10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¿Afecta el FIÍ las conclusiones sobre el impacto?</w:t>
      </w:r>
    </w:p>
    <w:p w:rsidR="00000000" w:rsidDel="00000000" w:rsidP="00000000" w:rsidRDefault="00000000" w:rsidRPr="00000000" w14:paraId="0000015D">
      <w:pPr>
        <w:numPr>
          <w:ilvl w:val="0"/>
          <w:numId w:val="102"/>
        </w:numPr>
        <w:ind w:left="720" w:hanging="480"/>
        <w:rPr/>
      </w:pPr>
      <w:r w:rsidDel="00000000" w:rsidR="00000000" w:rsidRPr="00000000">
        <w:rPr>
          <w:rtl w:val="0"/>
        </w:rPr>
        <w:t xml:space="preserve">Una forma de investigar estas preguntas:</w:t>
      </w:r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1"/>
        <w:numPr>
          <w:ilvl w:val="1"/>
          <w:numId w:val="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Ajustar un modelo que permite que los ítems con FDI varíen entre grupos</w:t>
      </w:r>
    </w:p>
    <w:bookmarkStart w:colFirst="0" w:colLast="0" w:name="bookmark=id.kgcv8k" w:id="68"/>
    <w:bookmarkEnd w:id="68"/>
    <w:p w:rsidR="00000000" w:rsidDel="00000000" w:rsidP="00000000" w:rsidRDefault="00000000" w:rsidRPr="00000000" w14:paraId="0000015F">
      <w:pPr>
        <w:pStyle w:val="Heading2"/>
        <w:rPr/>
      </w:pPr>
      <w:r w:rsidDel="00000000" w:rsidR="00000000" w:rsidRPr="00000000">
        <w:rPr>
          <w:rtl w:val="0"/>
        </w:rPr>
        <w:t xml:space="preserve">Análisis de seguimiento: Código</w:t>
      </w:r>
    </w:p>
    <w:p w:rsidR="00000000" w:rsidDel="00000000" w:rsidP="00000000" w:rsidRDefault="00000000" w:rsidRPr="00000000" w14:paraId="00000160">
      <w:pPr>
        <w:keepNext w:val="0"/>
        <w:keepLines w:val="0"/>
        <w:pageBreakBefore w:val="0"/>
        <w:widowControl w:val="1"/>
        <w:numPr>
          <w:ilvl w:val="0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72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Ajustar el modelo de invariancia parcial</w:t>
      </w:r>
    </w:p>
    <w:p w:rsidR="00000000" w:rsidDel="00000000" w:rsidP="00000000" w:rsidRDefault="00000000" w:rsidRPr="00000000" w14:paraId="000001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1f3f5" w:val="clear"/>
        <w:spacing w:after="20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# Invariance constraints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partial.invariance &lt;-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c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"free_mean"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"free_var"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                  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"cint1"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"cint2"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"cint4"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"cint27"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"cint28"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# Estimate model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partial.mod &lt;-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multipleGroup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(depression_items,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                       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group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gender,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                       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itemtype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"graded"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                           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invariance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partial.invariance)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# Plot IRFs of biased items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itemplot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(partial.mod,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type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"score"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item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"cint29"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main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"CINT 29"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itemplot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(partial.mod,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type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"score"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item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"cint29"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main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"CINT 30"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# Examine parameter estimates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coef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(partial.mod,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IRTpars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T,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simplify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T)</w:t>
      </w:r>
      <w:r w:rsidDel="00000000" w:rsidR="00000000" w:rsidRPr="00000000">
        <w:rPr>
          <w:rtl w:val="0"/>
        </w:rPr>
      </w:r>
    </w:p>
    <w:bookmarkStart w:colFirst="0" w:colLast="0" w:name="bookmark=id.34g0dwd" w:id="69"/>
    <w:bookmarkEnd w:id="69"/>
    <w:p w:rsidR="00000000" w:rsidDel="00000000" w:rsidP="00000000" w:rsidRDefault="00000000" w:rsidRPr="00000000" w14:paraId="00000162">
      <w:pPr>
        <w:pStyle w:val="Heading2"/>
        <w:rPr/>
      </w:pPr>
      <w:r w:rsidDel="00000000" w:rsidR="00000000" w:rsidRPr="00000000">
        <w:rPr>
          <w:rtl w:val="0"/>
        </w:rPr>
        <w:t xml:space="preserve">Análisis de seguimiento: Resultados</w:t>
      </w:r>
    </w:p>
    <w:p w:rsidR="00000000" w:rsidDel="00000000" w:rsidP="00000000" w:rsidRDefault="00000000" w:rsidRPr="00000000" w14:paraId="000001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numPr>
          <w:ilvl w:val="0"/>
          <w:numId w:val="60"/>
        </w:numPr>
        <w:spacing w:after="36" w:before="36" w:lineRule="auto"/>
        <w:ind w:left="720" w:hanging="480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Se esperaba que las mujeres reportaran puntuaciones más altas en CINT 29 (llora)</w:t>
      </w:r>
    </w:p>
    <w:p w:rsidR="00000000" w:rsidDel="00000000" w:rsidP="00000000" w:rsidRDefault="00000000" w:rsidRPr="00000000" w14:paraId="00000165">
      <w:pPr>
        <w:numPr>
          <w:ilvl w:val="0"/>
          <w:numId w:val="60"/>
        </w:numPr>
        <w:spacing w:after="36" w:before="36" w:lineRule="auto"/>
        <w:ind w:left="720" w:hanging="480"/>
        <w:jc w:val="center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Se esperaba que los hombres reportaran puntuaciones más altas en CINT 30 (paces)</w:t>
      </w:r>
    </w:p>
    <w:p w:rsidR="00000000" w:rsidDel="00000000" w:rsidP="00000000" w:rsidRDefault="00000000" w:rsidRPr="00000000" w14:paraId="00000166">
      <w:pPr>
        <w:numPr>
          <w:ilvl w:val="0"/>
          <w:numId w:val="60"/>
        </w:numPr>
        <w:spacing w:after="36" w:before="36" w:lineRule="auto"/>
        <w:ind w:left="720" w:hanging="480"/>
        <w:jc w:val="center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Esto es después de controlar por el nivel de depresión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pStyle w:val="Heading2"/>
        <w:rPr/>
      </w:pPr>
      <w:r w:rsidDel="00000000" w:rsidR="00000000" w:rsidRPr="00000000">
        <w:rPr>
          <w:rtl w:val="0"/>
        </w:rPr>
      </w:r>
    </w:p>
    <w:tbl>
      <w:tblPr>
        <w:tblStyle w:val="Table9"/>
        <w:tblW w:w="9576.0" w:type="dxa"/>
        <w:jc w:val="left"/>
        <w:tblInd w:w="-108.0" w:type="dxa"/>
        <w:tblLayout w:type="fixed"/>
        <w:tblLook w:val="0000"/>
      </w:tblPr>
      <w:tblGrid>
        <w:gridCol w:w="7878"/>
        <w:gridCol w:w="1698"/>
        <w:tblGridChange w:id="0">
          <w:tblGrid>
            <w:gridCol w:w="7878"/>
            <w:gridCol w:w="169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8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4891088" cy="4271359"/>
                  <wp:effectExtent b="0" l="0" r="0" t="0"/>
                  <wp:docPr descr="A graph of a line&#10;&#10;Description automatically generated" id="1024429718" name="image9.png"/>
                  <a:graphic>
                    <a:graphicData uri="http://schemas.openxmlformats.org/drawingml/2006/picture">
                      <pic:pic>
                        <pic:nvPicPr>
                          <pic:cNvPr descr="A graph of a line&#10;&#10;Description automatically generated" id="0" name="image9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1088" cy="427135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5334000" cy="4267200"/>
                  <wp:effectExtent b="0" l="0" r="0" t="0"/>
                  <wp:docPr descr="A graph of a function&#10;&#10;Description automatically generated" id="1024429733" name="image15.png"/>
                  <a:graphic>
                    <a:graphicData uri="http://schemas.openxmlformats.org/drawingml/2006/picture">
                      <pic:pic>
                        <pic:nvPicPr>
                          <pic:cNvPr descr="A graph of a function&#10;&#10;Description automatically generated" id="0" name="image15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426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A">
            <w:pPr>
              <w:spacing w:after="36" w:before="36" w:lineRule="auto"/>
              <w:ind w:left="720" w:firstLine="0"/>
              <w:jc w:val="center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576.0" w:type="dxa"/>
        <w:jc w:val="left"/>
        <w:tblInd w:w="-108.0" w:type="dxa"/>
        <w:tblLayout w:type="fixed"/>
        <w:tblLook w:val="0000"/>
      </w:tblPr>
      <w:tblGrid>
        <w:gridCol w:w="4788"/>
        <w:gridCol w:w="4788"/>
        <w:tblGridChange w:id="0">
          <w:tblGrid>
            <w:gridCol w:w="4788"/>
            <w:gridCol w:w="478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6" w:before="36" w:line="240" w:lineRule="auto"/>
              <w:ind w:left="0" w:right="0" w:firstLine="0"/>
              <w:jc w:val="left"/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bookmarkStart w:colFirst="0" w:colLast="0" w:name="bookmark=id.1jlao46" w:id="70"/>
    <w:bookmarkEnd w:id="70"/>
    <w:p w:rsidR="00000000" w:rsidDel="00000000" w:rsidP="00000000" w:rsidRDefault="00000000" w:rsidRPr="00000000" w14:paraId="0000016F">
      <w:pPr>
        <w:pStyle w:val="Heading2"/>
        <w:rPr/>
      </w:pPr>
      <w:r w:rsidDel="00000000" w:rsidR="00000000" w:rsidRPr="00000000">
        <w:rPr>
          <w:rtl w:val="0"/>
        </w:rPr>
        <w:t xml:space="preserve">Análisis de seguimiento: Resultados</w:t>
      </w:r>
    </w:p>
    <w:p w:rsidR="00000000" w:rsidDel="00000000" w:rsidP="00000000" w:rsidRDefault="00000000" w:rsidRPr="00000000" w14:paraId="000001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334000" cy="4008581"/>
            <wp:effectExtent b="0" l="0" r="0" t="0"/>
            <wp:docPr id="1024429734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85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bookmarkStart w:colFirst="0" w:colLast="0" w:name="bookmark=id.43ky6rz" w:id="71"/>
    <w:bookmarkEnd w:id="71"/>
    <w:p w:rsidR="00000000" w:rsidDel="00000000" w:rsidP="00000000" w:rsidRDefault="00000000" w:rsidRPr="00000000" w14:paraId="00000171">
      <w:pPr>
        <w:pStyle w:val="Heading2"/>
        <w:rPr/>
      </w:pPr>
      <w:r w:rsidDel="00000000" w:rsidR="00000000" w:rsidRPr="00000000">
        <w:rPr>
          <w:rtl w:val="0"/>
        </w:rPr>
        <w:t xml:space="preserve">Resumen del ejemplo</w:t>
      </w:r>
    </w:p>
    <w:p w:rsidR="00000000" w:rsidDel="00000000" w:rsidP="00000000" w:rsidRDefault="00000000" w:rsidRPr="00000000" w14:paraId="00000172">
      <w:pPr>
        <w:numPr>
          <w:ilvl w:val="0"/>
          <w:numId w:val="87"/>
        </w:numPr>
        <w:ind w:left="720" w:hanging="480"/>
        <w:rPr/>
      </w:pPr>
      <w:r w:rsidDel="00000000" w:rsidR="00000000" w:rsidRPr="00000000">
        <w:rPr>
          <w:rtl w:val="0"/>
        </w:rPr>
        <w:t xml:space="preserve">El análisis de FDI identificó dos ítems que estaban sesgados con respecto al género</w:t>
      </w:r>
    </w:p>
    <w:p w:rsidR="00000000" w:rsidDel="00000000" w:rsidP="00000000" w:rsidRDefault="00000000" w:rsidRPr="00000000" w14:paraId="00000173">
      <w:pPr>
        <w:keepNext w:val="0"/>
        <w:keepLines w:val="0"/>
        <w:pageBreakBefore w:val="0"/>
        <w:widowControl w:val="1"/>
        <w:numPr>
          <w:ilvl w:val="1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CINT 29: Ir a su habitación y llorar</w:t>
      </w:r>
    </w:p>
    <w:p w:rsidR="00000000" w:rsidDel="00000000" w:rsidP="00000000" w:rsidRDefault="00000000" w:rsidRPr="00000000" w14:paraId="00000174">
      <w:pPr>
        <w:keepNext w:val="0"/>
        <w:keepLines w:val="0"/>
        <w:pageBreakBefore w:val="0"/>
        <w:widowControl w:val="1"/>
        <w:numPr>
          <w:ilvl w:val="1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CINT 30: Sentirse inquieto y caminar de un lado a otro</w:t>
      </w:r>
    </w:p>
    <w:p w:rsidR="00000000" w:rsidDel="00000000" w:rsidP="00000000" w:rsidRDefault="00000000" w:rsidRPr="00000000" w14:paraId="00000175">
      <w:pPr>
        <w:numPr>
          <w:ilvl w:val="0"/>
          <w:numId w:val="77"/>
        </w:numPr>
        <w:ind w:left="720" w:hanging="480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En CINT 29, se esperaba que las mujeres reportaran puntuaciones más altas que los hombres, incluso si tenían el mismo nivel de depresión</w:t>
      </w:r>
    </w:p>
    <w:p w:rsidR="00000000" w:rsidDel="00000000" w:rsidP="00000000" w:rsidRDefault="00000000" w:rsidRPr="00000000" w14:paraId="00000176">
      <w:pPr>
        <w:numPr>
          <w:ilvl w:val="0"/>
          <w:numId w:val="77"/>
        </w:numPr>
        <w:ind w:left="720" w:hanging="480"/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En CINT 30, lo contrario fue cierto</w:t>
      </w:r>
    </w:p>
    <w:p w:rsidR="00000000" w:rsidDel="00000000" w:rsidP="00000000" w:rsidRDefault="00000000" w:rsidRPr="00000000" w14:paraId="00000177">
      <w:pPr>
        <w:numPr>
          <w:ilvl w:val="0"/>
          <w:numId w:val="87"/>
        </w:numPr>
        <w:ind w:left="720" w:hanging="480"/>
        <w:rPr/>
      </w:pPr>
      <w:r w:rsidDel="00000000" w:rsidR="00000000" w:rsidRPr="00000000">
        <w:rPr>
          <w:rtl w:val="0"/>
        </w:rPr>
        <w:t xml:space="preserve">Las diferencias de medias en depresión cambiaron cuando se permitió que los ítems con FDI variaran entre grupos (invariancia parcial)</w:t>
      </w:r>
    </w:p>
    <w:p w:rsidR="00000000" w:rsidDel="00000000" w:rsidP="00000000" w:rsidRDefault="00000000" w:rsidRPr="00000000" w14:paraId="00000178">
      <w:pPr>
        <w:keepNext w:val="0"/>
        <w:keepLines w:val="0"/>
        <w:pageBreakBefore w:val="0"/>
        <w:widowControl w:val="1"/>
        <w:numPr>
          <w:ilvl w:val="1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Las diferencias de medias se redujeron aproximadamente .06 SD</w:t>
      </w:r>
    </w:p>
    <w:p w:rsidR="00000000" w:rsidDel="00000000" w:rsidP="00000000" w:rsidRDefault="00000000" w:rsidRPr="00000000" w14:paraId="00000179">
      <w:pPr>
        <w:numPr>
          <w:ilvl w:val="0"/>
          <w:numId w:val="87"/>
        </w:numPr>
        <w:ind w:left="720" w:hanging="480"/>
        <w:rPr/>
      </w:pPr>
      <w:r w:rsidDel="00000000" w:rsidR="00000000" w:rsidRPr="00000000">
        <w:rPr>
          <w:rtl w:val="0"/>
        </w:rPr>
        <w:t xml:space="preserve">Una limitación de los métodos actuales es que no podemos probar directamente si el FDI afecta las conclusiones sobre el impacto</w:t>
      </w:r>
    </w:p>
    <w:p w:rsidR="00000000" w:rsidDel="00000000" w:rsidP="00000000" w:rsidRDefault="00000000" w:rsidRPr="00000000" w14:paraId="0000017A">
      <w:pPr>
        <w:keepNext w:val="0"/>
        <w:keepLines w:val="0"/>
        <w:pageBreakBefore w:val="0"/>
        <w:widowControl w:val="1"/>
        <w:numPr>
          <w:ilvl w:val="1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Más sobre este tema en la parte 3</w:t>
      </w:r>
    </w:p>
    <w:bookmarkStart w:colFirst="0" w:colLast="0" w:name="bookmark=id.2iq8gzs" w:id="72"/>
    <w:bookmarkEnd w:id="72"/>
    <w:p w:rsidR="00000000" w:rsidDel="00000000" w:rsidP="00000000" w:rsidRDefault="00000000" w:rsidRPr="00000000" w14:paraId="0000017B">
      <w:pPr>
        <w:pStyle w:val="Heading1"/>
        <w:rPr/>
      </w:pPr>
      <w:r w:rsidDel="00000000" w:rsidR="00000000" w:rsidRPr="00000000">
        <w:rPr>
          <w:rtl w:val="0"/>
        </w:rPr>
        <w:t xml:space="preserve">Próximos pasos</w:t>
      </w:r>
    </w:p>
    <w:bookmarkStart w:colFirst="0" w:colLast="0" w:name="bookmark=id.xvir7l" w:id="73"/>
    <w:bookmarkEnd w:id="73"/>
    <w:p w:rsidR="00000000" w:rsidDel="00000000" w:rsidP="00000000" w:rsidRDefault="00000000" w:rsidRPr="00000000" w14:paraId="0000017C">
      <w:pPr>
        <w:pStyle w:val="Heading2"/>
        <w:rPr/>
      </w:pPr>
      <w:r w:rsidDel="00000000" w:rsidR="00000000" w:rsidRPr="00000000">
        <w:rPr>
          <w:rtl w:val="0"/>
        </w:rPr>
        <w:t xml:space="preserve">Resumen</w:t>
      </w:r>
    </w:p>
    <w:p w:rsidR="00000000" w:rsidDel="00000000" w:rsidP="00000000" w:rsidRDefault="00000000" w:rsidRPr="00000000" w14:paraId="0000017D">
      <w:pPr>
        <w:numPr>
          <w:ilvl w:val="0"/>
          <w:numId w:val="78"/>
        </w:numPr>
        <w:ind w:left="720" w:hanging="480"/>
        <w:rPr/>
      </w:pPr>
      <w:r w:rsidDel="00000000" w:rsidR="00000000" w:rsidRPr="00000000">
        <w:rPr>
          <w:rtl w:val="0"/>
        </w:rPr>
        <w:t xml:space="preserve">Hemos visto cómo probar el FDI utilizando modelos TRI (2PL GRM)</w:t>
      </w:r>
    </w:p>
    <w:p w:rsidR="00000000" w:rsidDel="00000000" w:rsidP="00000000" w:rsidRDefault="00000000" w:rsidRPr="00000000" w14:paraId="0000017E">
      <w:pPr>
        <w:numPr>
          <w:ilvl w:val="0"/>
          <w:numId w:val="78"/>
        </w:numPr>
        <w:ind w:left="720" w:hanging="480"/>
        <w:rPr/>
      </w:pPr>
      <w:r w:rsidDel="00000000" w:rsidR="00000000" w:rsidRPr="00000000">
        <w:rPr>
          <w:rtl w:val="0"/>
        </w:rPr>
        <w:t xml:space="preserve">En nuestro ejemplo, encontramos dos ítems sesgados con respecto al género</w:t>
      </w:r>
    </w:p>
    <w:p w:rsidR="00000000" w:rsidDel="00000000" w:rsidP="00000000" w:rsidRDefault="00000000" w:rsidRPr="00000000" w14:paraId="0000017F">
      <w:pPr>
        <w:keepNext w:val="0"/>
        <w:keepLines w:val="0"/>
        <w:pageBreakBefore w:val="0"/>
        <w:widowControl w:val="1"/>
        <w:numPr>
          <w:ilvl w:val="1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Estos ítems podrían considerarse para revisión o eliminación</w:t>
      </w:r>
    </w:p>
    <w:p w:rsidR="00000000" w:rsidDel="00000000" w:rsidP="00000000" w:rsidRDefault="00000000" w:rsidRPr="00000000" w14:paraId="00000180">
      <w:pPr>
        <w:numPr>
          <w:ilvl w:val="0"/>
          <w:numId w:val="78"/>
        </w:numPr>
        <w:ind w:left="720" w:hanging="480"/>
        <w:rPr/>
      </w:pPr>
      <w:r w:rsidDel="00000000" w:rsidR="00000000" w:rsidRPr="00000000">
        <w:rPr>
          <w:rtl w:val="0"/>
        </w:rPr>
        <w:t xml:space="preserve">Discutimos dos limitaciones del análisis de FDI</w:t>
      </w:r>
    </w:p>
    <w:p w:rsidR="00000000" w:rsidDel="00000000" w:rsidP="00000000" w:rsidRDefault="00000000" w:rsidRPr="00000000" w14:paraId="00000181">
      <w:pPr>
        <w:keepNext w:val="0"/>
        <w:keepLines w:val="0"/>
        <w:pageBreakBefore w:val="0"/>
        <w:widowControl w:val="1"/>
        <w:numPr>
          <w:ilvl w:val="1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Selección de ítems ancla</w:t>
      </w:r>
    </w:p>
    <w:p w:rsidR="00000000" w:rsidDel="00000000" w:rsidP="00000000" w:rsidRDefault="00000000" w:rsidRPr="00000000" w14:paraId="00000182">
      <w:pPr>
        <w:keepNext w:val="0"/>
        <w:keepLines w:val="0"/>
        <w:pageBreakBefore w:val="0"/>
        <w:widowControl w:val="1"/>
        <w:numPr>
          <w:ilvl w:val="1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 hay prueba directa de si el FDI afecta el impacto</w:t>
      </w:r>
    </w:p>
    <w:bookmarkStart w:colFirst="0" w:colLast="0" w:name="bookmark=id.3hv69ve" w:id="74"/>
    <w:bookmarkEnd w:id="74"/>
    <w:p w:rsidR="00000000" w:rsidDel="00000000" w:rsidP="00000000" w:rsidRDefault="00000000" w:rsidRPr="00000000" w14:paraId="00000183">
      <w:pPr>
        <w:pStyle w:val="Heading2"/>
        <w:rPr/>
      </w:pPr>
      <w:r w:rsidDel="00000000" w:rsidR="00000000" w:rsidRPr="00000000">
        <w:rPr>
          <w:rtl w:val="0"/>
        </w:rPr>
        <w:t xml:space="preserve">Lo que haremos a continuación</w:t>
      </w:r>
    </w:p>
    <w:p w:rsidR="00000000" w:rsidDel="00000000" w:rsidP="00000000" w:rsidRDefault="00000000" w:rsidRPr="00000000" w14:paraId="00000184">
      <w:pPr>
        <w:numPr>
          <w:ilvl w:val="0"/>
          <w:numId w:val="65"/>
        </w:numPr>
        <w:ind w:left="720" w:hanging="480"/>
        <w:rPr/>
      </w:pPr>
      <w:r w:rsidDel="00000000" w:rsidR="00000000" w:rsidRPr="00000000">
        <w:rPr>
          <w:rtl w:val="0"/>
        </w:rPr>
        <w:t xml:space="preserve">Nuevos procedimientos para abordar el FDI y el DTF</w:t>
      </w:r>
    </w:p>
    <w:p w:rsidR="00000000" w:rsidDel="00000000" w:rsidP="00000000" w:rsidRDefault="00000000" w:rsidRPr="00000000" w14:paraId="00000185">
      <w:pPr>
        <w:numPr>
          <w:ilvl w:val="0"/>
          <w:numId w:val="65"/>
        </w:numPr>
        <w:ind w:left="720" w:hanging="480"/>
        <w:rPr/>
      </w:pPr>
      <w:r w:rsidDel="00000000" w:rsidR="00000000" w:rsidRPr="00000000">
        <w:rPr>
          <w:rtl w:val="0"/>
        </w:rPr>
        <w:t xml:space="preserve">No requieren la selección de ítems ancla</w:t>
      </w:r>
    </w:p>
    <w:p w:rsidR="00000000" w:rsidDel="00000000" w:rsidP="00000000" w:rsidRDefault="00000000" w:rsidRPr="00000000" w14:paraId="00000186">
      <w:pPr>
        <w:numPr>
          <w:ilvl w:val="0"/>
          <w:numId w:val="65"/>
        </w:numPr>
        <w:ind w:left="720" w:hanging="480"/>
        <w:rPr/>
      </w:pPr>
      <w:r w:rsidDel="00000000" w:rsidR="00000000" w:rsidRPr="00000000">
        <w:rPr>
          <w:rtl w:val="0"/>
        </w:rPr>
        <w:t xml:space="preserve">Garantizados para funcionar si &lt; 50% de los ítems muestran FDI</w:t>
      </w:r>
    </w:p>
    <w:p w:rsidR="00000000" w:rsidDel="00000000" w:rsidP="00000000" w:rsidRDefault="00000000" w:rsidRPr="00000000" w14:paraId="00000187">
      <w:pPr>
        <w:keepNext w:val="0"/>
        <w:keepLines w:val="0"/>
        <w:pageBreakBefore w:val="0"/>
        <w:widowControl w:val="1"/>
        <w:numPr>
          <w:ilvl w:val="1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" w:before="36" w:line="240" w:lineRule="auto"/>
        <w:ind w:left="1440" w:right="0" w:hanging="48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Diagnósticos disponibles cuando se enfrentan a proporciones mayores de ítems sesgados</w:t>
      </w:r>
    </w:p>
    <w:p w:rsidR="00000000" w:rsidDel="00000000" w:rsidP="00000000" w:rsidRDefault="00000000" w:rsidRPr="00000000" w14:paraId="00000188">
      <w:pPr>
        <w:numPr>
          <w:ilvl w:val="0"/>
          <w:numId w:val="65"/>
        </w:numPr>
        <w:ind w:left="720" w:hanging="480"/>
        <w:rPr/>
      </w:pPr>
      <w:r w:rsidDel="00000000" w:rsidR="00000000" w:rsidRPr="00000000">
        <w:rPr>
          <w:rtl w:val="0"/>
        </w:rPr>
        <w:t xml:space="preserve">Se pueden utilizar para probar si el FDI afecta el impacto (¡sin tener que probar primero el FDI en cada ítem!)</w:t>
      </w:r>
    </w:p>
    <w:p w:rsidR="00000000" w:rsidDel="00000000" w:rsidP="00000000" w:rsidRDefault="00000000" w:rsidRPr="00000000" w14:paraId="00000189">
      <w:pPr>
        <w:numPr>
          <w:ilvl w:val="0"/>
          <w:numId w:val="65"/>
        </w:numPr>
        <w:ind w:left="720" w:hanging="480"/>
        <w:rPr/>
      </w:pPr>
      <w:r w:rsidDel="00000000" w:rsidR="00000000" w:rsidRPr="00000000">
        <w:rPr>
          <w:rtl w:val="0"/>
        </w:rPr>
        <w:t xml:space="preserve">Fácil de implementar</w:t>
      </w:r>
    </w:p>
    <w:bookmarkStart w:colFirst="0" w:colLast="0" w:name="bookmark=id.1x0gk37" w:id="75"/>
    <w:bookmarkEnd w:id="75"/>
    <w:p w:rsidR="00000000" w:rsidDel="00000000" w:rsidP="00000000" w:rsidRDefault="00000000" w:rsidRPr="00000000" w14:paraId="0000018A">
      <w:pPr>
        <w:pStyle w:val="Heading2"/>
        <w:rPr/>
      </w:pPr>
      <w:r w:rsidDel="00000000" w:rsidR="00000000" w:rsidRPr="00000000">
        <w:rPr>
          <w:rtl w:val="0"/>
        </w:rPr>
        <w:t xml:space="preserve">Referencias</w:t>
      </w:r>
    </w:p>
    <w:p w:rsidR="00000000" w:rsidDel="00000000" w:rsidP="00000000" w:rsidRDefault="00000000" w:rsidRPr="00000000" w14:paraId="000001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Angoff, W. (1982). Use of difficulty and discrimination indices for detecting item bias. In R. Berk (Ed.), Handbook of Methods for Detecting Test Bias (pp. 96–116). The Johns Hopkins Press.</w:t>
      </w:r>
    </w:p>
    <w:p w:rsidR="00000000" w:rsidDel="00000000" w:rsidP="00000000" w:rsidRDefault="00000000" w:rsidRPr="00000000" w14:paraId="000001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Nicewander, W. A. (2018). Conditional reliability coefficients for test scores. Psychological Methods, 23(2), 351–362. https://doi.org/10.1037/met0000132</w:t>
      </w:r>
    </w:p>
    <w:p w:rsidR="00000000" w:rsidDel="00000000" w:rsidP="00000000" w:rsidRDefault="00000000" w:rsidRPr="00000000" w14:paraId="000001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Thissen, D., Steinberg, L., &amp; Wainer, H. (1993). Detection of differential item functioning using the parameters of item response models. In P. W. Holland &amp; H. Wainer (Eds.), Differential Item Functioning (pp. 67–113). Lawrence Erlbaum Associates.</w:t>
      </w:r>
    </w:p>
    <w:bookmarkStart w:colFirst="0" w:colLast="0" w:name="bookmark=id.4h042r0" w:id="76"/>
    <w:bookmarkEnd w:id="76"/>
    <w:p w:rsidR="00000000" w:rsidDel="00000000" w:rsidP="00000000" w:rsidRDefault="00000000" w:rsidRPr="00000000" w14:paraId="0000018E">
      <w:pPr>
        <w:pStyle w:val="Heading1"/>
        <w:rPr/>
      </w:pPr>
      <w:r w:rsidDel="00000000" w:rsidR="00000000" w:rsidRPr="00000000">
        <w:rPr>
          <w:rtl w:val="0"/>
        </w:rPr>
        <w:t xml:space="preserve">Apéndice</w:t>
      </w:r>
    </w:p>
    <w:bookmarkStart w:colFirst="0" w:colLast="0" w:name="bookmark=id.2w5ecyt" w:id="77"/>
    <w:bookmarkEnd w:id="77"/>
    <w:p w:rsidR="00000000" w:rsidDel="00000000" w:rsidP="00000000" w:rsidRDefault="00000000" w:rsidRPr="00000000" w14:paraId="0000018F">
      <w:pPr>
        <w:pStyle w:val="Heading2"/>
        <w:rPr/>
      </w:pPr>
      <w:r w:rsidDel="00000000" w:rsidR="00000000" w:rsidRPr="00000000">
        <w:rPr>
          <w:rtl w:val="0"/>
        </w:rPr>
        <w:t xml:space="preserve">Ejemplo: FII</w:t>
      </w:r>
    </w:p>
    <w:p w:rsidR="00000000" w:rsidDel="00000000" w:rsidP="00000000" w:rsidRDefault="00000000" w:rsidRPr="00000000" w14:paraId="000001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1f3f5" w:val="clear"/>
        <w:spacing w:after="20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plot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(grm,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type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"infotrace"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theta_lim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c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-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3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3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lwd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2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334000" cy="4267200"/>
            <wp:effectExtent b="0" l="0" r="0" t="0"/>
            <wp:docPr id="102442971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26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bookmarkStart w:colFirst="0" w:colLast="0" w:name="bookmark=id.1baon6m" w:id="78"/>
    <w:bookmarkEnd w:id="78"/>
    <w:p w:rsidR="00000000" w:rsidDel="00000000" w:rsidP="00000000" w:rsidRDefault="00000000" w:rsidRPr="00000000" w14:paraId="00000192">
      <w:pPr>
        <w:pStyle w:val="Heading2"/>
        <w:rPr/>
      </w:pPr>
      <w:r w:rsidDel="00000000" w:rsidR="00000000" w:rsidRPr="00000000">
        <w:rPr>
          <w:rtl w:val="0"/>
        </w:rPr>
        <w:t xml:space="preserve">Ejemplo: FIP</w:t>
      </w:r>
    </w:p>
    <w:p w:rsidR="00000000" w:rsidDel="00000000" w:rsidP="00000000" w:rsidRDefault="00000000" w:rsidRPr="00000000" w14:paraId="000001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1f3f5" w:val="clear"/>
        <w:spacing w:after="20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plot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(grm,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type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"info"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theta_lim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c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-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3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3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lwd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2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334000" cy="4267200"/>
            <wp:effectExtent b="0" l="0" r="0" t="0"/>
            <wp:docPr id="102442971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26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bookmarkStart w:colFirst="0" w:colLast="0" w:name="bookmark=id.3vac5uf" w:id="79"/>
    <w:bookmarkEnd w:id="79"/>
    <w:p w:rsidR="00000000" w:rsidDel="00000000" w:rsidP="00000000" w:rsidRDefault="00000000" w:rsidRPr="00000000" w14:paraId="00000195">
      <w:pPr>
        <w:pStyle w:val="Heading2"/>
        <w:rPr/>
      </w:pPr>
      <w:r w:rsidDel="00000000" w:rsidR="00000000" w:rsidRPr="00000000">
        <w:rPr>
          <w:rtl w:val="0"/>
        </w:rPr>
        <w:t xml:space="preserve">Ejemplo: Confiabilidad</w:t>
      </w:r>
    </w:p>
    <w:p w:rsidR="00000000" w:rsidDel="00000000" w:rsidP="00000000" w:rsidRDefault="00000000" w:rsidRPr="00000000" w14:paraId="000001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1f3f5" w:val="clear"/>
        <w:spacing w:after="20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plot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(grm,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type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20794d"/>
          <w:sz w:val="22"/>
          <w:szCs w:val="22"/>
          <w:u w:val="none"/>
          <w:shd w:fill="f1f3f5" w:val="clear"/>
          <w:vertAlign w:val="baseline"/>
          <w:rtl w:val="0"/>
        </w:rPr>
        <w:t xml:space="preserve">"rxx"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theta_lim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c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5e5e5e"/>
          <w:sz w:val="22"/>
          <w:szCs w:val="22"/>
          <w:u w:val="none"/>
          <w:shd w:fill="f1f3f5" w:val="clear"/>
          <w:vertAlign w:val="baseline"/>
          <w:rtl w:val="0"/>
        </w:rPr>
        <w:t xml:space="preserve">-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3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,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3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),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657422"/>
          <w:sz w:val="22"/>
          <w:szCs w:val="22"/>
          <w:u w:val="none"/>
          <w:shd w:fill="f1f3f5" w:val="clear"/>
          <w:vertAlign w:val="baseline"/>
          <w:rtl w:val="0"/>
        </w:rPr>
        <w:t xml:space="preserve">lwd =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ad0000"/>
          <w:sz w:val="22"/>
          <w:szCs w:val="22"/>
          <w:u w:val="none"/>
          <w:shd w:fill="f1f3f5" w:val="clear"/>
          <w:vertAlign w:val="baseline"/>
          <w:rtl w:val="0"/>
        </w:rPr>
        <w:t xml:space="preserve">2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334000" cy="4267200"/>
            <wp:effectExtent b="0" l="0" r="0" t="0"/>
            <wp:docPr id="102442971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26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1f3f5" w:val="clear"/>
        <w:spacing w:after="20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marginal_rxx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(grm)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1f3f5" w:val="clear"/>
        <w:spacing w:after="20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[1] 0.7944443</w:t>
      </w:r>
      <w:r w:rsidDel="00000000" w:rsidR="00000000" w:rsidRPr="00000000">
        <w:rPr>
          <w:rtl w:val="0"/>
        </w:rPr>
      </w:r>
    </w:p>
    <w:bookmarkStart w:colFirst="0" w:colLast="0" w:name="bookmark=id.2afmg28" w:id="80"/>
    <w:bookmarkEnd w:id="80"/>
    <w:p w:rsidR="00000000" w:rsidDel="00000000" w:rsidP="00000000" w:rsidRDefault="00000000" w:rsidRPr="00000000" w14:paraId="0000019A">
      <w:pPr>
        <w:pStyle w:val="Heading2"/>
        <w:rPr/>
      </w:pPr>
      <w:r w:rsidDel="00000000" w:rsidR="00000000" w:rsidRPr="00000000">
        <w:rPr>
          <w:rtl w:val="0"/>
        </w:rPr>
        <w:t xml:space="preserve">Ejemplo: Ajuste de ítem</w:t>
      </w:r>
    </w:p>
    <w:p w:rsidR="00000000" w:rsidDel="00000000" w:rsidP="00000000" w:rsidRDefault="00000000" w:rsidRPr="00000000" w14:paraId="000001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1f3f5" w:val="clear"/>
        <w:spacing w:after="20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4758ab"/>
          <w:sz w:val="22"/>
          <w:szCs w:val="22"/>
          <w:u w:val="none"/>
          <w:shd w:fill="f1f3f5" w:val="clear"/>
          <w:vertAlign w:val="baseline"/>
          <w:rtl w:val="0"/>
        </w:rPr>
        <w:t xml:space="preserve">itemfit</w:t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3b4f"/>
          <w:sz w:val="22"/>
          <w:szCs w:val="22"/>
          <w:u w:val="none"/>
          <w:shd w:fill="f1f3f5" w:val="clear"/>
          <w:vertAlign w:val="baseline"/>
          <w:rtl w:val="0"/>
        </w:rPr>
        <w:t xml:space="preserve">(grm)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1f3f5" w:val="clear"/>
        <w:spacing w:after="20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item   S_X2 df.S_X2 RMSEA.S_X2 p.S_X2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  cint1 37.080      39      0.000  0.558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  cint2 51.364      44      0.014  0.207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  cint4 40.499      43      0.000  0.580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 cint11 59.168      43      0.021  0.051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5 cint27 81.114      40      0.035  0.000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6 cint28 41.579      43      0.000  0.533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7 cint29 55.568      43      0.019  0.095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8 cint30 39.844      46      0.000  0.727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Calibri"/>
  <w:font w:name="Consolas"/>
  <w:font w:name="Wingdings"/>
  <w:font w:name="Cambria Math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2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3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4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5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6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7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8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9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0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1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2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3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4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5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6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7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8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9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20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21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22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23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24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25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26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27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28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29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30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31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32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33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34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35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36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37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38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39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40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41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42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43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44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45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46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47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48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49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50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51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52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53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54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55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56">
    <w:lvl w:ilvl="0">
      <w:start w:val="1"/>
      <w:numFmt w:val="decimal"/>
      <w:lvlText w:val="%1."/>
      <w:lvlJc w:val="left"/>
      <w:pPr>
        <w:ind w:left="720" w:hanging="480"/>
      </w:pPr>
      <w:rPr/>
    </w:lvl>
    <w:lvl w:ilvl="1">
      <w:start w:val="1"/>
      <w:numFmt w:val="decimal"/>
      <w:lvlText w:val="%2."/>
      <w:lvlJc w:val="left"/>
      <w:pPr>
        <w:ind w:left="1440" w:hanging="480"/>
      </w:pPr>
      <w:rPr/>
    </w:lvl>
    <w:lvl w:ilvl="2">
      <w:start w:val="1"/>
      <w:numFmt w:val="decimal"/>
      <w:lvlText w:val="%3."/>
      <w:lvlJc w:val="left"/>
      <w:pPr>
        <w:ind w:left="2160" w:hanging="480"/>
      </w:pPr>
      <w:rPr/>
    </w:lvl>
    <w:lvl w:ilvl="3">
      <w:start w:val="1"/>
      <w:numFmt w:val="decimal"/>
      <w:lvlText w:val="%4."/>
      <w:lvlJc w:val="left"/>
      <w:pPr>
        <w:ind w:left="2880" w:hanging="480"/>
      </w:pPr>
      <w:rPr/>
    </w:lvl>
    <w:lvl w:ilvl="4">
      <w:start w:val="1"/>
      <w:numFmt w:val="decimal"/>
      <w:lvlText w:val="%5."/>
      <w:lvlJc w:val="left"/>
      <w:pPr>
        <w:ind w:left="3600" w:hanging="480"/>
      </w:pPr>
      <w:rPr/>
    </w:lvl>
    <w:lvl w:ilvl="5">
      <w:start w:val="1"/>
      <w:numFmt w:val="decimal"/>
      <w:lvlText w:val="%6."/>
      <w:lvlJc w:val="left"/>
      <w:pPr>
        <w:ind w:left="4320" w:hanging="480"/>
      </w:pPr>
      <w:rPr/>
    </w:lvl>
    <w:lvl w:ilvl="6">
      <w:start w:val="1"/>
      <w:numFmt w:val="decimal"/>
      <w:lvlText w:val="%7."/>
      <w:lvlJc w:val="left"/>
      <w:pPr>
        <w:ind w:left="5040" w:hanging="480"/>
      </w:pPr>
      <w:rPr/>
    </w:lvl>
    <w:lvl w:ilvl="7">
      <w:start w:val="1"/>
      <w:numFmt w:val="decimal"/>
      <w:lvlText w:val="%8."/>
      <w:lvlJc w:val="left"/>
      <w:pPr>
        <w:ind w:left="5760" w:hanging="480"/>
      </w:pPr>
      <w:rPr/>
    </w:lvl>
    <w:lvl w:ilvl="8">
      <w:start w:val="1"/>
      <w:numFmt w:val="decimal"/>
      <w:lvlText w:val="%9."/>
      <w:lvlJc w:val="left"/>
      <w:pPr>
        <w:ind w:left="6480" w:hanging="480"/>
      </w:pPr>
      <w:rPr/>
    </w:lvl>
  </w:abstractNum>
  <w:abstractNum w:abstractNumId="57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58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59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60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61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62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63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64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65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66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67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68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69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70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71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72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73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74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75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76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77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78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79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80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81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82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83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84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85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86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87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88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89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90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91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92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93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94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95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96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97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98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99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00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01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02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03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04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05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06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07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08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09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10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11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12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13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14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15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16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17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18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abstractNum w:abstractNumId="119">
    <w:lvl w:ilvl="0">
      <w:start w:val="0"/>
      <w:numFmt w:val="bullet"/>
      <w:lvlText w:val="•"/>
      <w:lvlJc w:val="left"/>
      <w:pPr>
        <w:ind w:left="720" w:hanging="480"/>
      </w:pPr>
      <w:rPr/>
    </w:lvl>
    <w:lvl w:ilvl="1">
      <w:start w:val="0"/>
      <w:numFmt w:val="bullet"/>
      <w:lvlText w:val="–"/>
      <w:lvlJc w:val="left"/>
      <w:pPr>
        <w:ind w:left="1440" w:hanging="480"/>
      </w:pPr>
      <w:rPr/>
    </w:lvl>
    <w:lvl w:ilvl="2">
      <w:start w:val="0"/>
      <w:numFmt w:val="bullet"/>
      <w:lvlText w:val="•"/>
      <w:lvlJc w:val="left"/>
      <w:pPr>
        <w:ind w:left="2160" w:hanging="480"/>
      </w:pPr>
      <w:rPr/>
    </w:lvl>
    <w:lvl w:ilvl="3">
      <w:start w:val="0"/>
      <w:numFmt w:val="bullet"/>
      <w:lvlText w:val="–"/>
      <w:lvlJc w:val="left"/>
      <w:pPr>
        <w:ind w:left="2880" w:hanging="480"/>
      </w:pPr>
      <w:rPr/>
    </w:lvl>
    <w:lvl w:ilvl="4">
      <w:start w:val="0"/>
      <w:numFmt w:val="bullet"/>
      <w:lvlText w:val="•"/>
      <w:lvlJc w:val="left"/>
      <w:pPr>
        <w:ind w:left="3600" w:hanging="480"/>
      </w:pPr>
      <w:rPr/>
    </w:lvl>
    <w:lvl w:ilvl="5">
      <w:start w:val="0"/>
      <w:numFmt w:val="bullet"/>
      <w:lvlText w:val="–"/>
      <w:lvlJc w:val="left"/>
      <w:pPr>
        <w:ind w:left="4320" w:hanging="480"/>
      </w:pPr>
      <w:rPr/>
    </w:lvl>
    <w:lvl w:ilvl="6">
      <w:start w:val="0"/>
      <w:numFmt w:val="bullet"/>
      <w:lvlText w:val="•"/>
      <w:lvlJc w:val="left"/>
      <w:pPr>
        <w:ind w:left="5040" w:hanging="480"/>
      </w:pPr>
      <w:rPr/>
    </w:lvl>
    <w:lvl w:ilvl="7">
      <w:start w:val="0"/>
      <w:numFmt w:val="bullet"/>
      <w:lvlText w:val="–"/>
      <w:lvlJc w:val="left"/>
      <w:pPr>
        <w:ind w:left="5760" w:hanging="480"/>
      </w:pPr>
      <w:rPr/>
    </w:lvl>
    <w:lvl w:ilvl="8">
      <w:start w:val="0"/>
      <w:numFmt w:val="bullet"/>
      <w:lvlText w:val="•"/>
      <w:lvlJc w:val="left"/>
      <w:pPr>
        <w:ind w:left="6480" w:hanging="4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  <w:num w:numId="77">
    <w:abstractNumId w:val="77"/>
  </w:num>
  <w:num w:numId="78">
    <w:abstractNumId w:val="78"/>
  </w:num>
  <w:num w:numId="79">
    <w:abstractNumId w:val="79"/>
  </w:num>
  <w:num w:numId="80">
    <w:abstractNumId w:val="80"/>
  </w:num>
  <w:num w:numId="81">
    <w:abstractNumId w:val="81"/>
  </w:num>
  <w:num w:numId="82">
    <w:abstractNumId w:val="82"/>
  </w:num>
  <w:num w:numId="83">
    <w:abstractNumId w:val="83"/>
  </w:num>
  <w:num w:numId="84">
    <w:abstractNumId w:val="84"/>
  </w:num>
  <w:num w:numId="85">
    <w:abstractNumId w:val="85"/>
  </w:num>
  <w:num w:numId="86">
    <w:abstractNumId w:val="86"/>
  </w:num>
  <w:num w:numId="87">
    <w:abstractNumId w:val="87"/>
  </w:num>
  <w:num w:numId="88">
    <w:abstractNumId w:val="88"/>
  </w:num>
  <w:num w:numId="89">
    <w:abstractNumId w:val="89"/>
  </w:num>
  <w:num w:numId="90">
    <w:abstractNumId w:val="90"/>
  </w:num>
  <w:num w:numId="91">
    <w:abstractNumId w:val="91"/>
  </w:num>
  <w:num w:numId="92">
    <w:abstractNumId w:val="92"/>
  </w:num>
  <w:num w:numId="93">
    <w:abstractNumId w:val="93"/>
  </w:num>
  <w:num w:numId="94">
    <w:abstractNumId w:val="94"/>
  </w:num>
  <w:num w:numId="95">
    <w:abstractNumId w:val="95"/>
  </w:num>
  <w:num w:numId="96">
    <w:abstractNumId w:val="96"/>
  </w:num>
  <w:num w:numId="97">
    <w:abstractNumId w:val="97"/>
  </w:num>
  <w:num w:numId="98">
    <w:abstractNumId w:val="98"/>
  </w:num>
  <w:num w:numId="99">
    <w:abstractNumId w:val="99"/>
  </w:num>
  <w:num w:numId="100">
    <w:abstractNumId w:val="100"/>
  </w:num>
  <w:num w:numId="101">
    <w:abstractNumId w:val="101"/>
  </w:num>
  <w:num w:numId="102">
    <w:abstractNumId w:val="102"/>
  </w:num>
  <w:num w:numId="103">
    <w:abstractNumId w:val="103"/>
  </w:num>
  <w:num w:numId="104">
    <w:abstractNumId w:val="104"/>
  </w:num>
  <w:num w:numId="105">
    <w:abstractNumId w:val="105"/>
  </w:num>
  <w:num w:numId="106">
    <w:abstractNumId w:val="106"/>
  </w:num>
  <w:num w:numId="107">
    <w:abstractNumId w:val="107"/>
  </w:num>
  <w:num w:numId="108">
    <w:abstractNumId w:val="108"/>
  </w:num>
  <w:num w:numId="109">
    <w:abstractNumId w:val="109"/>
  </w:num>
  <w:num w:numId="110">
    <w:abstractNumId w:val="110"/>
  </w:num>
  <w:num w:numId="111">
    <w:abstractNumId w:val="111"/>
  </w:num>
  <w:num w:numId="112">
    <w:abstractNumId w:val="112"/>
  </w:num>
  <w:num w:numId="113">
    <w:abstractNumId w:val="113"/>
  </w:num>
  <w:num w:numId="114">
    <w:abstractNumId w:val="114"/>
  </w:num>
  <w:num w:numId="115">
    <w:abstractNumId w:val="115"/>
  </w:num>
  <w:num w:numId="116">
    <w:abstractNumId w:val="116"/>
  </w:num>
  <w:num w:numId="117">
    <w:abstractNumId w:val="117"/>
  </w:num>
  <w:num w:numId="118">
    <w:abstractNumId w:val="118"/>
  </w:num>
  <w:num w:numId="119">
    <w:abstractNumId w:val="1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s-ES"/>
      </w:rPr>
    </w:rPrDefault>
    <w:pPrDefault>
      <w:pPr>
        <w:spacing w:after="2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color w:val="4f81bd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4f81bd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4f81bd"/>
    </w:rPr>
  </w:style>
  <w:style w:type="paragraph" w:styleId="Title">
    <w:name w:val="Title"/>
    <w:basedOn w:val="Normal"/>
    <w:next w:val="Normal"/>
    <w:pPr>
      <w:keepNext w:val="1"/>
      <w:keepLines w:val="1"/>
      <w:spacing w:after="240" w:before="480" w:lineRule="auto"/>
      <w:jc w:val="center"/>
    </w:pPr>
    <w:rPr>
      <w:rFonts w:ascii="Calibri" w:cs="Calibri" w:eastAsia="Calibri" w:hAnsi="Calibri"/>
      <w:b w:val="1"/>
      <w:color w:val="335b8a"/>
      <w:sz w:val="36"/>
      <w:szCs w:val="36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BodyText"/>
    <w:uiPriority w:val="9"/>
    <w:qFormat w:val="1"/>
    <w:pPr>
      <w:keepNext w:val="1"/>
      <w:keepLines w:val="1"/>
      <w:spacing w:after="0" w:before="480"/>
      <w:outlineLvl w:val="0"/>
    </w:pPr>
    <w:rPr>
      <w:rFonts w:asciiTheme="majorHAnsi" w:cstheme="majorBidi" w:eastAsiaTheme="majorEastAsia" w:hAnsiTheme="majorHAnsi"/>
      <w:b w:val="1"/>
      <w:bCs w:val="1"/>
      <w:color w:val="4f81bd" w:themeColor="accent1"/>
      <w:sz w:val="32"/>
      <w:szCs w:val="32"/>
    </w:rPr>
  </w:style>
  <w:style w:type="paragraph" w:styleId="Heading2">
    <w:name w:val="heading 2"/>
    <w:basedOn w:val="Normal"/>
    <w:next w:val="BodyText"/>
    <w:link w:val="Heading2Char"/>
    <w:uiPriority w:val="9"/>
    <w:unhideWhenUsed w:val="1"/>
    <w:qFormat w:val="1"/>
    <w:pPr>
      <w:keepNext w:val="1"/>
      <w:keepLines w:val="1"/>
      <w:spacing w:after="0" w:before="200"/>
      <w:outlineLvl w:val="1"/>
    </w:pPr>
    <w:rPr>
      <w:rFonts w:asciiTheme="majorHAnsi" w:cstheme="majorBidi" w:eastAsiaTheme="majorEastAsia" w:hAnsiTheme="majorHAnsi"/>
      <w:b w:val="1"/>
      <w:bCs w:val="1"/>
      <w:color w:val="4f81bd" w:themeColor="accent1"/>
      <w:sz w:val="28"/>
      <w:szCs w:val="28"/>
    </w:rPr>
  </w:style>
  <w:style w:type="paragraph" w:styleId="Heading3">
    <w:name w:val="heading 3"/>
    <w:basedOn w:val="Normal"/>
    <w:next w:val="BodyText"/>
    <w:uiPriority w:val="9"/>
    <w:unhideWhenUsed w:val="1"/>
    <w:qFormat w:val="1"/>
    <w:pPr>
      <w:keepNext w:val="1"/>
      <w:keepLines w:val="1"/>
      <w:spacing w:after="0" w:before="200"/>
      <w:outlineLvl w:val="2"/>
    </w:pPr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paragraph" w:styleId="Heading4">
    <w:name w:val="heading 4"/>
    <w:basedOn w:val="Normal"/>
    <w:next w:val="BodyText"/>
    <w:uiPriority w:val="9"/>
    <w:unhideWhenUsed w:val="1"/>
    <w:qFormat w:val="1"/>
    <w:pPr>
      <w:keepNext w:val="1"/>
      <w:keepLines w:val="1"/>
      <w:spacing w:after="0" w:before="200"/>
      <w:outlineLvl w:val="3"/>
    </w:pPr>
    <w:rPr>
      <w:rFonts w:asciiTheme="majorHAnsi" w:cstheme="majorBidi" w:eastAsiaTheme="majorEastAsia" w:hAnsiTheme="majorHAnsi"/>
      <w:bCs w:val="1"/>
      <w:i w:val="1"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 w:val="1"/>
    <w:qFormat w:val="1"/>
    <w:pPr>
      <w:keepNext w:val="1"/>
      <w:keepLines w:val="1"/>
      <w:spacing w:after="0" w:before="200"/>
      <w:outlineLvl w:val="4"/>
    </w:pPr>
    <w:rPr>
      <w:rFonts w:asciiTheme="majorHAnsi" w:cstheme="majorBidi" w:eastAsiaTheme="majorEastAsia" w:hAnsiTheme="majorHAnsi"/>
      <w:iCs w:val="1"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 w:val="1"/>
    <w:qFormat w:val="1"/>
    <w:pPr>
      <w:keepNext w:val="1"/>
      <w:keepLines w:val="1"/>
      <w:spacing w:after="0" w:before="200"/>
      <w:outlineLvl w:val="5"/>
    </w:pPr>
    <w:rPr>
      <w:rFonts w:asciiTheme="majorHAnsi" w:cstheme="majorBidi" w:eastAsiaTheme="majorEastAsia" w:hAnsiTheme="majorHAnsi"/>
      <w:color w:val="4f81bd" w:themeColor="accent1"/>
    </w:rPr>
  </w:style>
  <w:style w:type="paragraph" w:styleId="Heading7">
    <w:name w:val="heading 7"/>
    <w:basedOn w:val="Normal"/>
    <w:next w:val="BodyText"/>
    <w:uiPriority w:val="9"/>
    <w:unhideWhenUsed w:val="1"/>
    <w:qFormat w:val="1"/>
    <w:pPr>
      <w:keepNext w:val="1"/>
      <w:keepLines w:val="1"/>
      <w:spacing w:after="0" w:before="200"/>
      <w:outlineLvl w:val="6"/>
    </w:pPr>
    <w:rPr>
      <w:rFonts w:asciiTheme="majorHAnsi" w:cstheme="majorBidi" w:eastAsiaTheme="majorEastAsia" w:hAnsiTheme="majorHAnsi"/>
      <w:color w:val="4f81bd" w:themeColor="accent1"/>
    </w:rPr>
  </w:style>
  <w:style w:type="paragraph" w:styleId="Heading8">
    <w:name w:val="heading 8"/>
    <w:basedOn w:val="Normal"/>
    <w:next w:val="BodyText"/>
    <w:uiPriority w:val="9"/>
    <w:unhideWhenUsed w:val="1"/>
    <w:qFormat w:val="1"/>
    <w:pPr>
      <w:keepNext w:val="1"/>
      <w:keepLines w:val="1"/>
      <w:spacing w:after="0" w:before="200"/>
      <w:outlineLvl w:val="7"/>
    </w:pPr>
    <w:rPr>
      <w:rFonts w:asciiTheme="majorHAnsi" w:cstheme="majorBidi" w:eastAsiaTheme="majorEastAsia" w:hAnsiTheme="majorHAnsi"/>
      <w:color w:val="4f81bd" w:themeColor="accent1"/>
    </w:rPr>
  </w:style>
  <w:style w:type="paragraph" w:styleId="Heading9">
    <w:name w:val="heading 9"/>
    <w:basedOn w:val="Normal"/>
    <w:next w:val="BodyText"/>
    <w:uiPriority w:val="9"/>
    <w:unhideWhenUsed w:val="1"/>
    <w:qFormat w:val="1"/>
    <w:pPr>
      <w:keepNext w:val="1"/>
      <w:keepLines w:val="1"/>
      <w:spacing w:after="0" w:before="200"/>
      <w:outlineLvl w:val="8"/>
    </w:pPr>
    <w:rPr>
      <w:rFonts w:asciiTheme="majorHAnsi" w:cstheme="majorBidi" w:eastAsiaTheme="majorEastAsia" w:hAnsiTheme="majorHAnsi"/>
      <w:color w:val="4f81bd" w:themeColor="accent1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odyText">
    <w:name w:val="Body Text"/>
    <w:basedOn w:val="Normal"/>
    <w:qFormat w:val="1"/>
    <w:pPr>
      <w:spacing w:after="180" w:before="180"/>
    </w:pPr>
  </w:style>
  <w:style w:type="paragraph" w:styleId="FirstParagraph" w:customStyle="1">
    <w:name w:val="First Paragraph"/>
    <w:basedOn w:val="BodyText"/>
    <w:next w:val="BodyText"/>
    <w:qFormat w:val="1"/>
  </w:style>
  <w:style w:type="paragraph" w:styleId="Compact" w:customStyle="1">
    <w:name w:val="Compact"/>
    <w:basedOn w:val="BodyText"/>
    <w:qFormat w:val="1"/>
    <w:pPr>
      <w:spacing w:after="36" w:before="36"/>
    </w:pPr>
  </w:style>
  <w:style w:type="paragraph" w:styleId="Title">
    <w:name w:val="Title"/>
    <w:basedOn w:val="Normal"/>
    <w:next w:val="BodyText"/>
    <w:qFormat w:val="1"/>
    <w:pPr>
      <w:keepNext w:val="1"/>
      <w:keepLines w:val="1"/>
      <w:spacing w:after="240" w:before="480"/>
      <w:jc w:val="center"/>
    </w:pPr>
    <w:rPr>
      <w:rFonts w:asciiTheme="majorHAnsi" w:cstheme="majorBidi" w:eastAsiaTheme="majorEastAsia" w:hAnsiTheme="majorHAnsi"/>
      <w:b w:val="1"/>
      <w:bCs w:val="1"/>
      <w:color w:val="345a8a" w:themeColor="accent1" w:themeShade="0000B5"/>
      <w:sz w:val="36"/>
      <w:szCs w:val="36"/>
    </w:rPr>
  </w:style>
  <w:style w:type="paragraph" w:styleId="Subtitle">
    <w:name w:val="Subtitle"/>
    <w:basedOn w:val="Title"/>
    <w:next w:val="BodyText"/>
    <w:qFormat w:val="1"/>
    <w:pPr>
      <w:spacing w:before="240"/>
    </w:pPr>
    <w:rPr>
      <w:sz w:val="30"/>
      <w:szCs w:val="30"/>
    </w:rPr>
  </w:style>
  <w:style w:type="paragraph" w:styleId="Author" w:customStyle="1">
    <w:name w:val="Author"/>
    <w:next w:val="BodyText"/>
    <w:qFormat w:val="1"/>
    <w:pPr>
      <w:keepNext w:val="1"/>
      <w:keepLines w:val="1"/>
      <w:jc w:val="center"/>
    </w:pPr>
  </w:style>
  <w:style w:type="paragraph" w:styleId="Date">
    <w:name w:val="Date"/>
    <w:next w:val="BodyText"/>
    <w:qFormat w:val="1"/>
    <w:pPr>
      <w:keepNext w:val="1"/>
      <w:keepLines w:val="1"/>
      <w:jc w:val="center"/>
    </w:pPr>
  </w:style>
  <w:style w:type="paragraph" w:styleId="Abstract" w:customStyle="1">
    <w:name w:val="Abstract"/>
    <w:basedOn w:val="Normal"/>
    <w:next w:val="BodyText"/>
    <w:qFormat w:val="1"/>
    <w:pPr>
      <w:keepNext w:val="1"/>
      <w:keepLines w:val="1"/>
      <w:spacing w:after="300" w:before="300"/>
    </w:pPr>
    <w:rPr>
      <w:sz w:val="20"/>
      <w:szCs w:val="20"/>
    </w:rPr>
  </w:style>
  <w:style w:type="paragraph" w:styleId="Bibliography">
    <w:name w:val="Bibliography"/>
    <w:basedOn w:val="Normal"/>
    <w:qFormat w:val="1"/>
  </w:style>
  <w:style w:type="paragraph" w:styleId="BlockText">
    <w:name w:val="Block Text"/>
    <w:basedOn w:val="BodyText"/>
    <w:next w:val="BodyText"/>
    <w:uiPriority w:val="9"/>
    <w:unhideWhenUsed w:val="1"/>
    <w:qFormat w:val="1"/>
    <w:pPr>
      <w:spacing w:after="100" w:before="100"/>
      <w:ind w:left="480" w:right="480"/>
    </w:pPr>
  </w:style>
  <w:style w:type="paragraph" w:styleId="FootnoteText">
    <w:name w:val="footnote text"/>
    <w:basedOn w:val="Normal"/>
    <w:uiPriority w:val="9"/>
    <w:unhideWhenUsed w:val="1"/>
    <w:qFormat w:val="1"/>
  </w:style>
  <w:style w:type="table" w:styleId="Table" w:customStyle="1">
    <w:name w:val="Table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type="paragraph" w:styleId="DefinitionTerm" w:customStyle="1">
    <w:name w:val="Definition Term"/>
    <w:basedOn w:val="Normal"/>
    <w:next w:val="Definition"/>
    <w:pPr>
      <w:keepNext w:val="1"/>
      <w:keepLines w:val="1"/>
      <w:spacing w:after="0"/>
    </w:pPr>
    <w:rPr>
      <w:b w:val="1"/>
    </w:rPr>
  </w:style>
  <w:style w:type="paragraph" w:styleId="Definition" w:customStyle="1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 w:val="1"/>
    </w:rPr>
  </w:style>
  <w:style w:type="paragraph" w:styleId="TableCaption" w:customStyle="1">
    <w:name w:val="Table Caption"/>
    <w:basedOn w:val="Caption"/>
    <w:pPr>
      <w:keepNext w:val="1"/>
    </w:pPr>
  </w:style>
  <w:style w:type="paragraph" w:styleId="ImageCaption" w:customStyle="1">
    <w:name w:val="Image Caption"/>
    <w:basedOn w:val="Caption"/>
  </w:style>
  <w:style w:type="paragraph" w:styleId="Figure" w:customStyle="1">
    <w:name w:val="Figure"/>
    <w:basedOn w:val="Normal"/>
  </w:style>
  <w:style w:type="paragraph" w:styleId="CaptionedFigure" w:customStyle="1">
    <w:name w:val="Captioned Figure"/>
    <w:basedOn w:val="Figure"/>
    <w:pPr>
      <w:keepNext w:val="1"/>
    </w:pPr>
  </w:style>
  <w:style w:type="character" w:styleId="CaptionChar" w:customStyle="1">
    <w:name w:val="Caption Char"/>
    <w:basedOn w:val="DefaultParagraphFont"/>
    <w:link w:val="Caption"/>
  </w:style>
  <w:style w:type="character" w:styleId="VerbatimChar" w:customStyle="1">
    <w:name w:val="Verbatim Char"/>
    <w:basedOn w:val="CaptionChar"/>
    <w:link w:val="SourceCode"/>
    <w:rPr>
      <w:rFonts w:ascii="Consolas" w:hAnsi="Consolas"/>
      <w:sz w:val="22"/>
    </w:rPr>
  </w:style>
  <w:style w:type="character" w:styleId="SectionNumber" w:customStyle="1">
    <w:name w:val="Section Number"/>
    <w:basedOn w:val="CaptionChar"/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 w:val="1"/>
    <w:qFormat w:val="1"/>
    <w:pPr>
      <w:spacing w:before="240" w:line="259" w:lineRule="auto"/>
      <w:outlineLvl w:val="9"/>
    </w:pPr>
    <w:rPr>
      <w:b w:val="0"/>
      <w:bCs w:val="0"/>
      <w:color w:val="365f91" w:themeColor="accent1" w:themeShade="0000BF"/>
    </w:rPr>
  </w:style>
  <w:style w:type="paragraph" w:styleId="SourceCode" w:customStyle="1">
    <w:name w:val="Source Code"/>
    <w:basedOn w:val="Normal"/>
    <w:link w:val="VerbatimChar"/>
    <w:pPr>
      <w:shd w:color="auto" w:fill="f1f3f5" w:val="clear"/>
      <w:wordWrap w:val="0"/>
    </w:pPr>
  </w:style>
  <w:style w:type="character" w:styleId="KeywordTok" w:customStyle="1">
    <w:name w:val="KeywordTok"/>
    <w:basedOn w:val="VerbatimChar"/>
    <w:rPr>
      <w:rFonts w:ascii="Consolas" w:hAnsi="Consolas"/>
      <w:color w:val="003b4f"/>
      <w:sz w:val="22"/>
      <w:shd w:color="auto" w:fill="f1f3f5" w:val="clear"/>
    </w:rPr>
  </w:style>
  <w:style w:type="character" w:styleId="DataTypeTok" w:customStyle="1">
    <w:name w:val="DataTypeTok"/>
    <w:basedOn w:val="VerbatimChar"/>
    <w:rPr>
      <w:rFonts w:ascii="Consolas" w:hAnsi="Consolas"/>
      <w:color w:val="ad0000"/>
      <w:sz w:val="22"/>
      <w:shd w:color="auto" w:fill="f1f3f5" w:val="clear"/>
    </w:rPr>
  </w:style>
  <w:style w:type="character" w:styleId="DecValTok" w:customStyle="1">
    <w:name w:val="DecValTok"/>
    <w:basedOn w:val="VerbatimChar"/>
    <w:rPr>
      <w:rFonts w:ascii="Consolas" w:hAnsi="Consolas"/>
      <w:color w:val="ad0000"/>
      <w:sz w:val="22"/>
      <w:shd w:color="auto" w:fill="f1f3f5" w:val="clear"/>
    </w:rPr>
  </w:style>
  <w:style w:type="character" w:styleId="BaseNTok" w:customStyle="1">
    <w:name w:val="BaseNTok"/>
    <w:basedOn w:val="VerbatimChar"/>
    <w:rPr>
      <w:rFonts w:ascii="Consolas" w:hAnsi="Consolas"/>
      <w:color w:val="ad0000"/>
      <w:sz w:val="22"/>
      <w:shd w:color="auto" w:fill="f1f3f5" w:val="clear"/>
    </w:rPr>
  </w:style>
  <w:style w:type="character" w:styleId="FloatTok" w:customStyle="1">
    <w:name w:val="FloatTok"/>
    <w:basedOn w:val="VerbatimChar"/>
    <w:rPr>
      <w:rFonts w:ascii="Consolas" w:hAnsi="Consolas"/>
      <w:color w:val="ad0000"/>
      <w:sz w:val="22"/>
      <w:shd w:color="auto" w:fill="f1f3f5" w:val="clear"/>
    </w:rPr>
  </w:style>
  <w:style w:type="character" w:styleId="ConstantTok" w:customStyle="1">
    <w:name w:val="ConstantTok"/>
    <w:basedOn w:val="VerbatimChar"/>
    <w:rPr>
      <w:rFonts w:ascii="Consolas" w:hAnsi="Consolas"/>
      <w:color w:val="8f5902"/>
      <w:sz w:val="22"/>
      <w:shd w:color="auto" w:fill="f1f3f5" w:val="clear"/>
    </w:rPr>
  </w:style>
  <w:style w:type="character" w:styleId="CharTok" w:customStyle="1">
    <w:name w:val="CharTok"/>
    <w:basedOn w:val="VerbatimChar"/>
    <w:rPr>
      <w:rFonts w:ascii="Consolas" w:hAnsi="Consolas"/>
      <w:color w:val="20794d"/>
      <w:sz w:val="22"/>
      <w:shd w:color="auto" w:fill="f1f3f5" w:val="clear"/>
    </w:rPr>
  </w:style>
  <w:style w:type="character" w:styleId="SpecialCharTok" w:customStyle="1">
    <w:name w:val="SpecialCharTok"/>
    <w:basedOn w:val="VerbatimChar"/>
    <w:rPr>
      <w:rFonts w:ascii="Consolas" w:hAnsi="Consolas"/>
      <w:color w:val="5e5e5e"/>
      <w:sz w:val="22"/>
      <w:shd w:color="auto" w:fill="f1f3f5" w:val="clear"/>
    </w:rPr>
  </w:style>
  <w:style w:type="character" w:styleId="StringTok" w:customStyle="1">
    <w:name w:val="StringTok"/>
    <w:basedOn w:val="VerbatimChar"/>
    <w:rPr>
      <w:rFonts w:ascii="Consolas" w:hAnsi="Consolas"/>
      <w:color w:val="20794d"/>
      <w:sz w:val="22"/>
      <w:shd w:color="auto" w:fill="f1f3f5" w:val="clear"/>
    </w:rPr>
  </w:style>
  <w:style w:type="character" w:styleId="VerbatimStringTok" w:customStyle="1">
    <w:name w:val="VerbatimStringTok"/>
    <w:basedOn w:val="VerbatimChar"/>
    <w:rPr>
      <w:rFonts w:ascii="Consolas" w:hAnsi="Consolas"/>
      <w:color w:val="20794d"/>
      <w:sz w:val="22"/>
      <w:shd w:color="auto" w:fill="f1f3f5" w:val="clear"/>
    </w:rPr>
  </w:style>
  <w:style w:type="character" w:styleId="SpecialStringTok" w:customStyle="1">
    <w:name w:val="SpecialStringTok"/>
    <w:basedOn w:val="VerbatimChar"/>
    <w:rPr>
      <w:rFonts w:ascii="Consolas" w:hAnsi="Consolas"/>
      <w:color w:val="20794d"/>
      <w:sz w:val="22"/>
      <w:shd w:color="auto" w:fill="f1f3f5" w:val="clear"/>
    </w:rPr>
  </w:style>
  <w:style w:type="character" w:styleId="ImportTok" w:customStyle="1">
    <w:name w:val="ImportTok"/>
    <w:basedOn w:val="VerbatimChar"/>
    <w:rPr>
      <w:rFonts w:ascii="Consolas" w:hAnsi="Consolas"/>
      <w:color w:val="00769e"/>
      <w:sz w:val="22"/>
      <w:shd w:color="auto" w:fill="f1f3f5" w:val="clear"/>
    </w:rPr>
  </w:style>
  <w:style w:type="character" w:styleId="CommentTok" w:customStyle="1">
    <w:name w:val="CommentTok"/>
    <w:basedOn w:val="VerbatimChar"/>
    <w:rPr>
      <w:rFonts w:ascii="Consolas" w:hAnsi="Consolas"/>
      <w:color w:val="5e5e5e"/>
      <w:sz w:val="22"/>
      <w:shd w:color="auto" w:fill="f1f3f5" w:val="clear"/>
    </w:rPr>
  </w:style>
  <w:style w:type="character" w:styleId="DocumentationTok" w:customStyle="1">
    <w:name w:val="DocumentationTok"/>
    <w:basedOn w:val="VerbatimChar"/>
    <w:rPr>
      <w:rFonts w:ascii="Consolas" w:hAnsi="Consolas"/>
      <w:i w:val="1"/>
      <w:color w:val="5e5e5e"/>
      <w:sz w:val="22"/>
      <w:shd w:color="auto" w:fill="f1f3f5" w:val="clear"/>
    </w:rPr>
  </w:style>
  <w:style w:type="character" w:styleId="AnnotationTok" w:customStyle="1">
    <w:name w:val="AnnotationTok"/>
    <w:basedOn w:val="VerbatimChar"/>
    <w:rPr>
      <w:rFonts w:ascii="Consolas" w:hAnsi="Consolas"/>
      <w:color w:val="5e5e5e"/>
      <w:sz w:val="22"/>
      <w:shd w:color="auto" w:fill="f1f3f5" w:val="clear"/>
    </w:rPr>
  </w:style>
  <w:style w:type="character" w:styleId="CommentVarTok" w:customStyle="1">
    <w:name w:val="CommentVarTok"/>
    <w:basedOn w:val="VerbatimChar"/>
    <w:rPr>
      <w:rFonts w:ascii="Consolas" w:hAnsi="Consolas"/>
      <w:i w:val="1"/>
      <w:color w:val="5e5e5e"/>
      <w:sz w:val="22"/>
      <w:shd w:color="auto" w:fill="f1f3f5" w:val="clear"/>
    </w:rPr>
  </w:style>
  <w:style w:type="character" w:styleId="OtherTok" w:customStyle="1">
    <w:name w:val="OtherTok"/>
    <w:basedOn w:val="VerbatimChar"/>
    <w:rPr>
      <w:rFonts w:ascii="Consolas" w:hAnsi="Consolas"/>
      <w:color w:val="003b4f"/>
      <w:sz w:val="22"/>
      <w:shd w:color="auto" w:fill="f1f3f5" w:val="clear"/>
    </w:rPr>
  </w:style>
  <w:style w:type="character" w:styleId="FunctionTok" w:customStyle="1">
    <w:name w:val="FunctionTok"/>
    <w:basedOn w:val="VerbatimChar"/>
    <w:rPr>
      <w:rFonts w:ascii="Consolas" w:hAnsi="Consolas"/>
      <w:color w:val="4758ab"/>
      <w:sz w:val="22"/>
      <w:shd w:color="auto" w:fill="f1f3f5" w:val="clear"/>
    </w:rPr>
  </w:style>
  <w:style w:type="character" w:styleId="VariableTok" w:customStyle="1">
    <w:name w:val="VariableTok"/>
    <w:basedOn w:val="VerbatimChar"/>
    <w:rPr>
      <w:rFonts w:ascii="Consolas" w:hAnsi="Consolas"/>
      <w:color w:val="111111"/>
      <w:sz w:val="22"/>
      <w:shd w:color="auto" w:fill="f1f3f5" w:val="clear"/>
    </w:rPr>
  </w:style>
  <w:style w:type="character" w:styleId="ControlFlowTok" w:customStyle="1">
    <w:name w:val="ControlFlowTok"/>
    <w:basedOn w:val="VerbatimChar"/>
    <w:rPr>
      <w:rFonts w:ascii="Consolas" w:hAnsi="Consolas"/>
      <w:color w:val="003b4f"/>
      <w:sz w:val="22"/>
      <w:shd w:color="auto" w:fill="f1f3f5" w:val="clear"/>
    </w:rPr>
  </w:style>
  <w:style w:type="character" w:styleId="OperatorTok" w:customStyle="1">
    <w:name w:val="OperatorTok"/>
    <w:basedOn w:val="VerbatimChar"/>
    <w:rPr>
      <w:rFonts w:ascii="Consolas" w:hAnsi="Consolas"/>
      <w:color w:val="5e5e5e"/>
      <w:sz w:val="22"/>
      <w:shd w:color="auto" w:fill="f1f3f5" w:val="clear"/>
    </w:rPr>
  </w:style>
  <w:style w:type="character" w:styleId="BuiltInTok" w:customStyle="1">
    <w:name w:val="BuiltInTok"/>
    <w:basedOn w:val="VerbatimChar"/>
    <w:rPr>
      <w:rFonts w:ascii="Consolas" w:hAnsi="Consolas"/>
      <w:color w:val="003b4f"/>
      <w:sz w:val="22"/>
      <w:shd w:color="auto" w:fill="f1f3f5" w:val="clear"/>
    </w:rPr>
  </w:style>
  <w:style w:type="character" w:styleId="ExtensionTok" w:customStyle="1">
    <w:name w:val="ExtensionTok"/>
    <w:basedOn w:val="VerbatimChar"/>
    <w:rPr>
      <w:rFonts w:ascii="Consolas" w:hAnsi="Consolas"/>
      <w:color w:val="003b4f"/>
      <w:sz w:val="22"/>
      <w:shd w:color="auto" w:fill="f1f3f5" w:val="clear"/>
    </w:rPr>
  </w:style>
  <w:style w:type="character" w:styleId="PreprocessorTok" w:customStyle="1">
    <w:name w:val="PreprocessorTok"/>
    <w:basedOn w:val="VerbatimChar"/>
    <w:rPr>
      <w:rFonts w:ascii="Consolas" w:hAnsi="Consolas"/>
      <w:color w:val="ad0000"/>
      <w:sz w:val="22"/>
      <w:shd w:color="auto" w:fill="f1f3f5" w:val="clear"/>
    </w:rPr>
  </w:style>
  <w:style w:type="character" w:styleId="AttributeTok" w:customStyle="1">
    <w:name w:val="AttributeTok"/>
    <w:basedOn w:val="VerbatimChar"/>
    <w:rPr>
      <w:rFonts w:ascii="Consolas" w:hAnsi="Consolas"/>
      <w:color w:val="657422"/>
      <w:sz w:val="22"/>
      <w:shd w:color="auto" w:fill="f1f3f5" w:val="clear"/>
    </w:rPr>
  </w:style>
  <w:style w:type="character" w:styleId="RegionMarkerTok" w:customStyle="1">
    <w:name w:val="RegionMarkerTok"/>
    <w:basedOn w:val="VerbatimChar"/>
    <w:rPr>
      <w:rFonts w:ascii="Consolas" w:hAnsi="Consolas"/>
      <w:color w:val="003b4f"/>
      <w:sz w:val="22"/>
      <w:shd w:color="auto" w:fill="f1f3f5" w:val="clear"/>
    </w:rPr>
  </w:style>
  <w:style w:type="character" w:styleId="InformationTok" w:customStyle="1">
    <w:name w:val="InformationTok"/>
    <w:basedOn w:val="VerbatimChar"/>
    <w:rPr>
      <w:rFonts w:ascii="Consolas" w:hAnsi="Consolas"/>
      <w:color w:val="5e5e5e"/>
      <w:sz w:val="22"/>
      <w:shd w:color="auto" w:fill="f1f3f5" w:val="clear"/>
    </w:rPr>
  </w:style>
  <w:style w:type="character" w:styleId="WarningTok" w:customStyle="1">
    <w:name w:val="WarningTok"/>
    <w:basedOn w:val="VerbatimChar"/>
    <w:rPr>
      <w:rFonts w:ascii="Consolas" w:hAnsi="Consolas"/>
      <w:i w:val="1"/>
      <w:color w:val="5e5e5e"/>
      <w:sz w:val="22"/>
      <w:shd w:color="auto" w:fill="f1f3f5" w:val="clear"/>
    </w:rPr>
  </w:style>
  <w:style w:type="character" w:styleId="AlertTok" w:customStyle="1">
    <w:name w:val="AlertTok"/>
    <w:basedOn w:val="VerbatimChar"/>
    <w:rPr>
      <w:rFonts w:ascii="Consolas" w:hAnsi="Consolas"/>
      <w:color w:val="ad0000"/>
      <w:sz w:val="22"/>
      <w:shd w:color="auto" w:fill="f1f3f5" w:val="clear"/>
    </w:rPr>
  </w:style>
  <w:style w:type="character" w:styleId="ErrorTok" w:customStyle="1">
    <w:name w:val="ErrorTok"/>
    <w:basedOn w:val="VerbatimChar"/>
    <w:rPr>
      <w:rFonts w:ascii="Consolas" w:hAnsi="Consolas"/>
      <w:color w:val="ad0000"/>
      <w:sz w:val="22"/>
      <w:shd w:color="auto" w:fill="f1f3f5" w:val="clear"/>
    </w:rPr>
  </w:style>
  <w:style w:type="character" w:styleId="NormalTok" w:customStyle="1">
    <w:name w:val="NormalTok"/>
    <w:basedOn w:val="VerbatimChar"/>
    <w:rPr>
      <w:rFonts w:ascii="Consolas" w:hAnsi="Consolas"/>
      <w:color w:val="003b4f"/>
      <w:sz w:val="22"/>
      <w:shd w:color="auto" w:fill="f1f3f5" w:val="clear"/>
    </w:rPr>
  </w:style>
  <w:style w:type="character" w:styleId="Heading2Char" w:customStyle="1">
    <w:name w:val="Heading 2 Char"/>
    <w:basedOn w:val="DefaultParagraphFont"/>
    <w:link w:val="Heading2"/>
    <w:uiPriority w:val="9"/>
    <w:rsid w:val="00344597"/>
    <w:rPr>
      <w:rFonts w:asciiTheme="majorHAnsi" w:cstheme="majorBidi" w:eastAsiaTheme="majorEastAsia" w:hAnsiTheme="majorHAnsi"/>
      <w:b w:val="1"/>
      <w:bCs w:val="1"/>
      <w:color w:val="4f81bd" w:themeColor="accent1"/>
      <w:sz w:val="28"/>
      <w:szCs w:val="28"/>
    </w:rPr>
  </w:style>
  <w:style w:type="paragraph" w:styleId="ListParagraph">
    <w:name w:val="List Paragraph"/>
    <w:basedOn w:val="Normal"/>
    <w:rsid w:val="00344597"/>
    <w:pPr>
      <w:ind w:left="720"/>
      <w:contextualSpacing w:val="1"/>
    </w:pPr>
  </w:style>
  <w:style w:type="character" w:styleId="CommentReference">
    <w:name w:val="annotation reference"/>
    <w:basedOn w:val="DefaultParagraphFont"/>
    <w:rsid w:val="00CC0C7F"/>
    <w:rPr>
      <w:sz w:val="16"/>
      <w:szCs w:val="16"/>
    </w:rPr>
  </w:style>
  <w:style w:type="paragraph" w:styleId="CommentText">
    <w:name w:val="annotation text"/>
    <w:basedOn w:val="Normal"/>
    <w:link w:val="CommentTextChar"/>
    <w:rsid w:val="00CC0C7F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rsid w:val="00CC0C7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CC0C7F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rsid w:val="00CC0C7F"/>
    <w:rPr>
      <w:b w:val="1"/>
      <w:bCs w:val="1"/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spacing w:after="240" w:before="240" w:lineRule="auto"/>
      <w:jc w:val="center"/>
    </w:pPr>
    <w:rPr>
      <w:rFonts w:ascii="Calibri" w:cs="Calibri" w:eastAsia="Calibri" w:hAnsi="Calibri"/>
      <w:b w:val="1"/>
      <w:color w:val="335b8a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Row">
      <w:tcPr>
        <w:tcBorders>
          <w:bottom w:color="000000" w:space="0" w:sz="0" w:val="nil"/>
        </w:tcBorders>
        <w:vAlign w:val="bottom"/>
      </w:tcPr>
    </w:tblStyle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Row">
      <w:tcPr>
        <w:tcBorders>
          <w:bottom w:color="000000" w:space="0" w:sz="0" w:val="nil"/>
        </w:tcBorders>
        <w:vAlign w:val="bottom"/>
      </w:tcPr>
    </w:tblStyle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Row">
      <w:tcPr>
        <w:tcBorders>
          <w:bottom w:color="000000" w:space="0" w:sz="0" w:val="nil"/>
        </w:tcBorders>
        <w:vAlign w:val="bottom"/>
      </w:tcPr>
    </w:tblStyle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Row">
      <w:tcPr>
        <w:tcBorders>
          <w:bottom w:color="000000" w:space="0" w:sz="0" w:val="nil"/>
        </w:tcBorders>
        <w:vAlign w:val="bottom"/>
      </w:tcPr>
    </w:tblStyle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Row">
      <w:tcPr>
        <w:tcBorders>
          <w:bottom w:color="000000" w:space="0" w:sz="0" w:val="nil"/>
        </w:tcBorders>
        <w:vAlign w:val="bottom"/>
      </w:tcPr>
    </w:tblStyle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Row">
      <w:tcPr>
        <w:tcBorders>
          <w:bottom w:color="000000" w:space="0" w:sz="0" w:val="nil"/>
        </w:tcBorders>
        <w:vAlign w:val="bottom"/>
      </w:tcPr>
    </w:tblStyle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Row">
      <w:tcPr>
        <w:tcBorders>
          <w:bottom w:color="000000" w:space="0" w:sz="0" w:val="nil"/>
        </w:tcBorders>
        <w:vAlign w:val="bottom"/>
      </w:tcPr>
    </w:tblStyle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Row">
      <w:tcPr>
        <w:tcBorders>
          <w:bottom w:color="000000" w:space="0" w:sz="0" w:val="nil"/>
        </w:tcBorders>
        <w:vAlign w:val="bottom"/>
      </w:tcPr>
    </w:tblStyle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Row">
      <w:tcPr>
        <w:tcBorders>
          <w:bottom w:color="000000" w:space="0" w:sz="0" w:val="nil"/>
        </w:tcBorders>
        <w:vAlign w:val="bottom"/>
      </w:tcPr>
    </w:tblStyle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Row">
      <w:tcPr>
        <w:tcBorders>
          <w:bottom w:color="000000" w:space="0" w:sz="0" w:val="nil"/>
        </w:tcBorders>
        <w:vAlign w:val="bottom"/>
      </w:tcPr>
    </w:tblStyle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22" Type="http://schemas.openxmlformats.org/officeDocument/2006/relationships/image" Target="media/image11.png"/><Relationship Id="rId21" Type="http://schemas.openxmlformats.org/officeDocument/2006/relationships/image" Target="media/image6.png"/><Relationship Id="rId24" Type="http://schemas.openxmlformats.org/officeDocument/2006/relationships/image" Target="media/image9.png"/><Relationship Id="rId23" Type="http://schemas.openxmlformats.org/officeDocument/2006/relationships/image" Target="media/image1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8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8" Type="http://schemas.openxmlformats.org/officeDocument/2006/relationships/image" Target="media/image7.png"/><Relationship Id="rId27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.png"/><Relationship Id="rId7" Type="http://schemas.openxmlformats.org/officeDocument/2006/relationships/hyperlink" Target="https://peterhalpin.github.io/RDIF-workshop/" TargetMode="External"/><Relationship Id="rId8" Type="http://schemas.openxmlformats.org/officeDocument/2006/relationships/image" Target="media/image17.png"/><Relationship Id="rId11" Type="http://schemas.openxmlformats.org/officeDocument/2006/relationships/image" Target="media/image19.png"/><Relationship Id="rId10" Type="http://schemas.openxmlformats.org/officeDocument/2006/relationships/image" Target="media/image22.png"/><Relationship Id="rId13" Type="http://schemas.openxmlformats.org/officeDocument/2006/relationships/image" Target="media/image20.png"/><Relationship Id="rId12" Type="http://schemas.openxmlformats.org/officeDocument/2006/relationships/image" Target="media/image21.png"/><Relationship Id="rId15" Type="http://schemas.openxmlformats.org/officeDocument/2006/relationships/image" Target="media/image4.png"/><Relationship Id="rId14" Type="http://schemas.openxmlformats.org/officeDocument/2006/relationships/image" Target="media/image8.png"/><Relationship Id="rId17" Type="http://schemas.openxmlformats.org/officeDocument/2006/relationships/image" Target="media/image3.png"/><Relationship Id="rId16" Type="http://schemas.openxmlformats.org/officeDocument/2006/relationships/image" Target="media/image13.png"/><Relationship Id="rId19" Type="http://schemas.openxmlformats.org/officeDocument/2006/relationships/image" Target="media/image12.png"/><Relationship Id="rId1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jLxFitvgxVVO0qOWAB4JNdx7IQ==">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2023-11-27T21:39:00Z</dcterms:created>
  <dc:creator>Peter F. Halpin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y-author">
    <vt:lpwstr/>
  </property>
  <property fmtid="{D5CDD505-2E9C-101B-9397-08002B2CF9AE}" pid="5" name="header-includes">
    <vt:lpwstr/>
  </property>
  <property fmtid="{D5CDD505-2E9C-101B-9397-08002B2CF9AE}" pid="6" name="include-after">
    <vt:lpwstr/>
  </property>
  <property fmtid="{D5CDD505-2E9C-101B-9397-08002B2CF9AE}" pid="7" name="include-before">
    <vt:lpwstr/>
  </property>
  <property fmtid="{D5CDD505-2E9C-101B-9397-08002B2CF9AE}" pid="8" name="labels">
    <vt:lpwstr/>
  </property>
  <property fmtid="{D5CDD505-2E9C-101B-9397-08002B2CF9AE}" pid="9" name="toc-title">
    <vt:lpwstr>Table of contents</vt:lpwstr>
  </property>
</Properties>
</file>