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Parte 1: Invarianza de Medida</w:t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Peter F. Halpin</w:t>
      </w:r>
    </w:p>
    <w:bookmarkStart w:colFirst="0" w:colLast="0" w:name="bookmark=id.gjdgxs" w:id="0"/>
    <w:bookmarkEnd w:id="0"/>
    <w:p w:rsidR="00000000" w:rsidDel="00000000" w:rsidP="00000000" w:rsidRDefault="00000000" w:rsidRPr="00000000" w14:paraId="00000003">
      <w:pPr>
        <w:pStyle w:val="Heading2"/>
        <w:rPr/>
      </w:pPr>
      <w:r w:rsidDel="00000000" w:rsidR="00000000" w:rsidRPr="00000000">
        <w:rPr>
          <w:rtl w:val="0"/>
        </w:rPr>
        <w:t xml:space="preserve">Descripción General del Taller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Parte 1. Introducción + análisis factorial + IM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Parte 2. TRI + FDI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Parte 3. Escalamiento robusto + FDI + FDP</w:t>
      </w:r>
    </w:p>
    <w:p w:rsidR="00000000" w:rsidDel="00000000" w:rsidP="00000000" w:rsidRDefault="00000000" w:rsidRPr="00000000" w14:paraId="00000007">
      <w:pPr>
        <w:numPr>
          <w:ilvl w:val="0"/>
          <w:numId w:val="66"/>
        </w:numPr>
        <w:ind w:left="720" w:hanging="480"/>
        <w:rPr/>
      </w:pPr>
      <w:r w:rsidDel="00000000" w:rsidR="00000000" w:rsidRPr="00000000">
        <w:rPr>
          <w:rtl w:val="0"/>
        </w:rPr>
        <w:t xml:space="preserve">Abreviaturas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1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FDI = funcionamiento diferencial del ítem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1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FDP = funcionamiento diferencial de la prueba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1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 = teoría de respuesta al ítem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1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 = invarianza de medida</w:t>
      </w:r>
    </w:p>
    <w:bookmarkStart w:colFirst="0" w:colLast="0" w:name="bookmark=id.30j0zll" w:id="1"/>
    <w:bookmarkEnd w:id="1"/>
    <w:p w:rsidR="00000000" w:rsidDel="00000000" w:rsidP="00000000" w:rsidRDefault="00000000" w:rsidRPr="00000000" w14:paraId="0000000C">
      <w:pPr>
        <w:pStyle w:val="Heading2"/>
        <w:rPr/>
      </w:pPr>
      <w:r w:rsidDel="00000000" w:rsidR="00000000" w:rsidRPr="00000000">
        <w:rPr>
          <w:rtl w:val="0"/>
        </w:rPr>
        <w:t xml:space="preserve">Descripción General de la Parte 1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Definiciones generales de IM y FDI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factorial para datos categóricos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"Niveles" de IM definidos para datos categóricos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Pruebas de IM comparando modelos (pruebas de diferencia de chi-cuadrado)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Ejemplo práctico</w:t>
      </w:r>
    </w:p>
    <w:bookmarkStart w:colFirst="0" w:colLast="0" w:name="bookmark=id.1fob9te" w:id="2"/>
    <w:bookmarkEnd w:id="2"/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Organización</w:t>
      </w:r>
    </w:p>
    <w:p w:rsidR="00000000" w:rsidDel="00000000" w:rsidP="00000000" w:rsidRDefault="00000000" w:rsidRPr="00000000" w14:paraId="00000013">
      <w:pPr>
        <w:numPr>
          <w:ilvl w:val="0"/>
          <w:numId w:val="53"/>
        </w:numPr>
        <w:ind w:left="720" w:hanging="480"/>
        <w:rPr>
          <w:color w:val="000000"/>
        </w:rPr>
      </w:pPr>
      <w:r w:rsidDel="00000000" w:rsidR="00000000" w:rsidRPr="00000000">
        <w:rPr>
          <w:rtl w:val="0"/>
        </w:rPr>
        <w:t xml:space="preserve">Sitio web: </w:t>
      </w:r>
      <w:hyperlink r:id="rId7">
        <w:r w:rsidDel="00000000" w:rsidR="00000000" w:rsidRPr="00000000">
          <w:rPr>
            <w:color w:val="4f81bd"/>
            <w:rtl w:val="0"/>
          </w:rPr>
          <w:t xml:space="preserve">peterhalpin.github.io/RDIF-workshop/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53"/>
        </w:numPr>
        <w:ind w:left="720" w:hanging="480"/>
        <w:rPr/>
      </w:pPr>
      <w:r w:rsidDel="00000000" w:rsidR="00000000" w:rsidRPr="00000000">
        <w:rPr>
          <w:rtl w:val="0"/>
        </w:rPr>
        <w:t xml:space="preserve">Diapositivas: Estas diapositivas</w:t>
      </w:r>
    </w:p>
    <w:p w:rsidR="00000000" w:rsidDel="00000000" w:rsidP="00000000" w:rsidRDefault="00000000" w:rsidRPr="00000000" w14:paraId="00000015">
      <w:pPr>
        <w:numPr>
          <w:ilvl w:val="0"/>
          <w:numId w:val="53"/>
        </w:numPr>
        <w:ind w:left="720" w:hanging="480"/>
        <w:rPr/>
      </w:pPr>
      <w:r w:rsidDel="00000000" w:rsidR="00000000" w:rsidRPr="00000000">
        <w:rPr>
          <w:rtl w:val="0"/>
        </w:rPr>
        <w:t xml:space="preserve">Notas: Estas diapositivas en formato DOCX (traducido, editable)</w:t>
      </w:r>
    </w:p>
    <w:p w:rsidR="00000000" w:rsidDel="00000000" w:rsidP="00000000" w:rsidRDefault="00000000" w:rsidRPr="00000000" w14:paraId="00000016">
      <w:pPr>
        <w:numPr>
          <w:ilvl w:val="0"/>
          <w:numId w:val="53"/>
        </w:numPr>
        <w:ind w:left="720" w:hanging="480"/>
        <w:rPr/>
      </w:pPr>
      <w:r w:rsidDel="00000000" w:rsidR="00000000" w:rsidRPr="00000000">
        <w:rPr>
          <w:rtl w:val="0"/>
        </w:rPr>
        <w:t xml:space="preserve">Código: Código de ejemplos de estas diapositivas + análisis adicionales</w:t>
      </w:r>
    </w:p>
    <w:bookmarkStart w:colFirst="0" w:colLast="0" w:name="bookmark=id.3znysh7" w:id="3"/>
    <w:bookmarkEnd w:id="3"/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IM y FDI en General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Primer objetivo: Definir los problemas principales</w:t>
      </w:r>
    </w:p>
    <w:bookmarkStart w:colFirst="0" w:colLast="0" w:name="bookmark=id.2et92p0" w:id="4"/>
    <w:bookmarkEnd w:id="4"/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tl w:val="0"/>
        </w:rPr>
        <w:t xml:space="preserve">Definiciones intuitivas (Bauer, 2017)</w:t>
      </w:r>
    </w:p>
    <w:p w:rsidR="00000000" w:rsidDel="00000000" w:rsidP="00000000" w:rsidRDefault="00000000" w:rsidRPr="00000000" w14:paraId="0000001A">
      <w:pPr>
        <w:numPr>
          <w:ilvl w:val="0"/>
          <w:numId w:val="57"/>
        </w:numPr>
        <w:ind w:left="720" w:hanging="480"/>
        <w:rPr/>
      </w:pPr>
      <w:r w:rsidDel="00000000" w:rsidR="00000000" w:rsidRPr="00000000">
        <w:rPr>
          <w:rtl w:val="0"/>
        </w:rPr>
        <w:t xml:space="preserve">Invarianza de medida (IM): Una evaluación funciona igual a través de diferentes grupos de encuestados</w:t>
      </w:r>
    </w:p>
    <w:p w:rsidR="00000000" w:rsidDel="00000000" w:rsidP="00000000" w:rsidRDefault="00000000" w:rsidRPr="00000000" w14:paraId="0000001B">
      <w:pPr>
        <w:numPr>
          <w:ilvl w:val="0"/>
          <w:numId w:val="57"/>
        </w:numPr>
        <w:ind w:left="720" w:hanging="480"/>
        <w:rPr/>
      </w:pPr>
      <w:r w:rsidDel="00000000" w:rsidR="00000000" w:rsidRPr="00000000">
        <w:rPr>
          <w:rtl w:val="0"/>
        </w:rPr>
        <w:t xml:space="preserve">Funcionamiento diferencial del ítem (FDI): Un ítem funciona de manera diferente a través de diferentes grupos de encuestados</w:t>
      </w:r>
    </w:p>
    <w:p w:rsidR="00000000" w:rsidDel="00000000" w:rsidP="00000000" w:rsidRDefault="00000000" w:rsidRPr="00000000" w14:paraId="0000001C">
      <w:pPr>
        <w:numPr>
          <w:ilvl w:val="0"/>
          <w:numId w:val="57"/>
        </w:numPr>
        <w:ind w:left="720" w:hanging="480"/>
        <w:rPr/>
      </w:pPr>
      <w:r w:rsidDel="00000000" w:rsidR="00000000" w:rsidRPr="00000000">
        <w:rPr>
          <w:rtl w:val="0"/>
        </w:rPr>
        <w:t xml:space="preserve">Relación: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1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la IM se cumple, ningún ítem exhibe FDI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la IM no se cumple, al menos un ítem exhibe FDI</w:t>
      </w:r>
    </w:p>
    <w:bookmarkStart w:colFirst="0" w:colLast="0" w:name="bookmark=id.tyjcwt" w:id="5"/>
    <w:bookmarkEnd w:id="5"/>
    <w:p w:rsidR="00000000" w:rsidDel="00000000" w:rsidP="00000000" w:rsidRDefault="00000000" w:rsidRPr="00000000" w14:paraId="0000001F">
      <w:pPr>
        <w:pStyle w:val="Heading2"/>
        <w:rPr/>
      </w:pPr>
      <w:r w:rsidDel="00000000" w:rsidR="00000000" w:rsidRPr="00000000">
        <w:rPr>
          <w:rtl w:val="0"/>
        </w:rPr>
        <w:t xml:space="preserve">Ejemplos (Curley &amp; Schmitt, 1993)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2728903"/>
            <wp:effectExtent b="0" l="0" r="0" t="0"/>
            <wp:docPr id="14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7289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bookmark=id.3dy6vkm" w:id="6"/>
    <w:bookmarkEnd w:id="6"/>
    <w:p w:rsidR="00000000" w:rsidDel="00000000" w:rsidP="00000000" w:rsidRDefault="00000000" w:rsidRPr="00000000" w14:paraId="00000021">
      <w:pPr>
        <w:pStyle w:val="Heading2"/>
        <w:rPr/>
      </w:pPr>
      <w:r w:rsidDel="00000000" w:rsidR="00000000" w:rsidRPr="00000000">
        <w:rPr>
          <w:rtl w:val="0"/>
        </w:rPr>
        <w:t xml:space="preserve">Un marco general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discutir IM / FDI en general, represente modelos psicométricos usando la definición de distribución marginal</w:t>
      </w:r>
    </w:p>
    <w:p w:rsidR="00000000" w:rsidDel="00000000" w:rsidP="00000000" w:rsidRDefault="00000000" w:rsidRPr="00000000" w14:paraId="00000023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=∫p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 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 dη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x=</m:t>
        </m:r>
        <m:d>
          <m:dPr>
            <m:begChr m:val="["/>
            <m:endChr m:val="]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,…,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</m:e>
        </m:d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variables observadas (ítems de evaluación)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m:t>η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variable latente (rasgo, factor, constructo)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distribución de probabilidad (masa, densidad)</w:t>
      </w:r>
    </w:p>
    <w:bookmarkStart w:colFirst="0" w:colLast="0" w:name="bookmark=id.1t3h5sf" w:id="7"/>
    <w:bookmarkEnd w:id="7"/>
    <w:p w:rsidR="00000000" w:rsidDel="00000000" w:rsidP="00000000" w:rsidRDefault="00000000" w:rsidRPr="00000000" w14:paraId="00000027">
      <w:pPr>
        <w:pStyle w:val="Heading2"/>
        <w:rPr/>
      </w:pPr>
      <w:r w:rsidDel="00000000" w:rsidR="00000000" w:rsidRPr="00000000">
        <w:rPr>
          <w:rtl w:val="0"/>
        </w:rPr>
        <w:t xml:space="preserve">Un marco general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Diferentes suposiciones definen diferentes modelos (por ejemplo, Holland &amp; Rosenbaum 1986)</w:t>
      </w:r>
    </w:p>
    <w:p w:rsidR="00000000" w:rsidDel="00000000" w:rsidP="00000000" w:rsidRDefault="00000000" w:rsidRPr="00000000" w14:paraId="00000029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=∫p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 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 dη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Análisis factorial: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y </w:t>
      </w:r>
      <m:oMath>
        <m:r>
          <m:t>η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están normalmente distribuidos con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x=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ν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+Λη+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ϵ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TRI: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multinomial y </w:t>
      </w:r>
      <m:oMath>
        <m:r>
          <m:t>η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es normal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….</w:t>
      </w:r>
    </w:p>
    <w:bookmarkStart w:colFirst="0" w:colLast="0" w:name="bookmark=id.4d34og8" w:id="8"/>
    <w:bookmarkEnd w:id="8"/>
    <w:p w:rsidR="00000000" w:rsidDel="00000000" w:rsidP="00000000" w:rsidRDefault="00000000" w:rsidRPr="00000000" w14:paraId="0000002D">
      <w:pPr>
        <w:pStyle w:val="Heading2"/>
        <w:rPr/>
      </w:pPr>
      <w:r w:rsidDel="00000000" w:rsidR="00000000" w:rsidRPr="00000000">
        <w:rPr>
          <w:rtl w:val="0"/>
        </w:rPr>
        <w:t xml:space="preserve">Un marco general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 representación muestra que hay dos partes en un modelo psicométrico</w:t>
      </w:r>
    </w:p>
    <w:p w:rsidR="00000000" w:rsidDel="00000000" w:rsidP="00000000" w:rsidRDefault="00000000" w:rsidRPr="00000000" w14:paraId="0000002F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=∫p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 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 dη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El modelo de medición: 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El modelo de población: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Útil para comprender IM / FD</w:t>
      </w:r>
    </w:p>
    <w:bookmarkStart w:colFirst="0" w:colLast="0" w:name="bookmark=id.2s8eyo1" w:id="9"/>
    <w:bookmarkEnd w:id="9"/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0"/>
        </w:rPr>
        <w:t xml:space="preserve">El modelo de medición</w:t>
      </w:r>
    </w:p>
    <w:p w:rsidR="00000000" w:rsidDel="00000000" w:rsidP="00000000" w:rsidRDefault="00000000" w:rsidRPr="00000000" w14:paraId="00000034">
      <w:pPr>
        <w:numPr>
          <w:ilvl w:val="0"/>
          <w:numId w:val="42"/>
        </w:numPr>
        <w:ind w:left="720" w:hanging="480"/>
        <w:rPr/>
      </w:pPr>
      <w:r w:rsidDel="00000000" w:rsidR="00000000" w:rsidRPr="00000000">
        <w:rPr>
          <w:rtl w:val="0"/>
        </w:rPr>
        <w:t xml:space="preserve">La distribución condicional </w:t>
      </w:r>
      <m:oMath>
        <m:r>
          <w:rPr>
            <w:rFonts w:ascii="Cambria Math" w:cs="Cambria Math" w:eastAsia="Cambria Math" w:hAnsi="Cambria Math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x∣</m:t>
            </m:r>
            <m:r>
              <w:rPr>
                <w:rFonts w:ascii="Cambria Math" w:cs="Cambria Math" w:eastAsia="Cambria Math" w:hAnsi="Cambria Math"/>
              </w:rPr>
              <m:t>η</m:t>
            </m:r>
          </m:e>
        </m:d>
      </m:oMath>
      <w:r w:rsidDel="00000000" w:rsidR="00000000" w:rsidRPr="00000000">
        <w:rPr>
          <w:rtl w:val="0"/>
        </w:rPr>
        <w:t xml:space="preserve"> relaciona los datos observados con el rasgo latente</w:t>
      </w:r>
    </w:p>
    <w:p w:rsidR="00000000" w:rsidDel="00000000" w:rsidP="00000000" w:rsidRDefault="00000000" w:rsidRPr="00000000" w14:paraId="00000035">
      <w:pPr>
        <w:numPr>
          <w:ilvl w:val="0"/>
          <w:numId w:val="42"/>
        </w:numPr>
        <w:ind w:left="720" w:hanging="480"/>
        <w:rPr/>
      </w:pPr>
      <w:r w:rsidDel="00000000" w:rsidR="00000000" w:rsidRPr="00000000">
        <w:rPr>
          <w:rtl w:val="0"/>
        </w:rPr>
        <w:t xml:space="preserve">Típicamente asumimos independencia condicional</w:t>
      </w:r>
    </w:p>
    <w:p w:rsidR="00000000" w:rsidDel="00000000" w:rsidP="00000000" w:rsidRDefault="00000000" w:rsidRPr="00000000" w14:paraId="00000036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nary>
          <m:naryPr>
            <m:chr m:val="∏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naryPr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/>
        </m:nary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Las correlaciones entre los ítems se explican solo por el rasgo latente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1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"Los ítems miden el constructo"</w:t>
      </w:r>
    </w:p>
    <w:bookmarkStart w:colFirst="0" w:colLast="0" w:name="bookmark=id.17dp8vu" w:id="10"/>
    <w:bookmarkEnd w:id="10"/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tl w:val="0"/>
        </w:rPr>
        <w:t xml:space="preserve">El modelo de población</w:t>
      </w:r>
    </w:p>
    <w:p w:rsidR="00000000" w:rsidDel="00000000" w:rsidP="00000000" w:rsidRDefault="00000000" w:rsidRPr="00000000" w14:paraId="0000003A">
      <w:pPr>
        <w:numPr>
          <w:ilvl w:val="0"/>
          <w:numId w:val="46"/>
        </w:numPr>
        <w:ind w:left="720" w:hanging="480"/>
        <w:rPr/>
      </w:pPr>
      <w:r w:rsidDel="00000000" w:rsidR="00000000" w:rsidRPr="00000000">
        <w:rPr>
          <w:rtl w:val="0"/>
        </w:rPr>
        <w:t xml:space="preserve">La distribución del rasgo latente</w:t>
      </w:r>
      <m:oMath>
        <m:r>
          <w:rPr>
            <w:rFonts w:ascii="Cambria Math" w:cs="Cambria Math" w:eastAsia="Cambria Math" w:hAnsi="Cambria Math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>η</m:t>
            </m:r>
          </m:e>
        </m:d>
      </m:oMath>
      <w:r w:rsidDel="00000000" w:rsidR="00000000" w:rsidRPr="00000000">
        <w:rPr>
          <w:rtl w:val="0"/>
        </w:rPr>
        <w:t xml:space="preserve"> describe cómo se distribuye el constructo objetivo</w:t>
      </w:r>
    </w:p>
    <w:p w:rsidR="00000000" w:rsidDel="00000000" w:rsidP="00000000" w:rsidRDefault="00000000" w:rsidRPr="00000000" w14:paraId="0000003B">
      <w:pPr>
        <w:numPr>
          <w:ilvl w:val="0"/>
          <w:numId w:val="46"/>
        </w:numPr>
        <w:ind w:left="720" w:hanging="480"/>
        <w:rPr/>
      </w:pPr>
      <w:r w:rsidDel="00000000" w:rsidR="00000000" w:rsidRPr="00000000">
        <w:rPr>
          <w:rtl w:val="0"/>
        </w:rPr>
        <w:t xml:space="preserve">Los modelos psicométricos requieren que establezcamos la escala del rasgo latente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1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p.ej., establecer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E</m:t>
        </m:r>
        <m:d>
          <m:dPr>
            <m:begChr m:val="["/>
            <m:endChr m:val="]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y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V</m:t>
        </m:r>
        <m:d>
          <m:dPr>
            <m:begChr m:val="["/>
            <m:endChr m:val="]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46"/>
        </w:numPr>
        <w:ind w:left="720" w:hanging="480"/>
        <w:rPr/>
      </w:pPr>
      <w:r w:rsidDel="00000000" w:rsidR="00000000" w:rsidRPr="00000000">
        <w:rPr>
          <w:rtl w:val="0"/>
        </w:rPr>
        <w:t xml:space="preserve">Esto será un aspecto complicado de IM / FDI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1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Diferentes niveles de IM permiten la estimación de diferentes parámetros de la población</w:t>
      </w:r>
    </w:p>
    <w:bookmarkStart w:colFirst="0" w:colLast="0" w:name="bookmark=id.3rdcrjn" w:id="11"/>
    <w:bookmarkEnd w:id="11"/>
    <w:p w:rsidR="00000000" w:rsidDel="00000000" w:rsidP="00000000" w:rsidRDefault="00000000" w:rsidRPr="00000000" w14:paraId="0000003F">
      <w:pPr>
        <w:pStyle w:val="Heading2"/>
        <w:rPr/>
      </w:pPr>
      <w:r w:rsidDel="00000000" w:rsidR="00000000" w:rsidRPr="00000000">
        <w:rPr>
          <w:rtl w:val="0"/>
        </w:rPr>
        <w:t xml:space="preserve">IM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Sea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W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cualquier otra variable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1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menudo género, raza, pero podría ser cualquier cosa</w:t>
      </w:r>
    </w:p>
    <w:p w:rsidR="00000000" w:rsidDel="00000000" w:rsidP="00000000" w:rsidRDefault="00000000" w:rsidRPr="00000000" w14:paraId="00000042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x∣W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=∫</m:t>
        </m:r>
        <m:nary>
          <m:naryPr>
            <m:chr m:val="∏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naryPr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/>
        </m:nary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 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∣W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 dη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IM: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para toda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j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modelo de medición no depende de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W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“La medida no está sesgada con respecto a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W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”</w:t>
      </w:r>
    </w:p>
    <w:bookmarkStart w:colFirst="0" w:colLast="0" w:name="bookmark=id.26in1rg" w:id="12"/>
    <w:bookmarkEnd w:id="12"/>
    <w:p w:rsidR="00000000" w:rsidDel="00000000" w:rsidP="00000000" w:rsidRDefault="00000000" w:rsidRPr="00000000" w14:paraId="00000046">
      <w:pPr>
        <w:pStyle w:val="Heading2"/>
        <w:rPr/>
      </w:pPr>
      <w:r w:rsidDel="00000000" w:rsidR="00000000" w:rsidRPr="00000000">
        <w:rPr>
          <w:rtl w:val="0"/>
        </w:rPr>
        <w:t xml:space="preserve">Implicaciones de IM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modelo marginal con IM:</w:t>
      </w:r>
    </w:p>
    <w:p w:rsidR="00000000" w:rsidDel="00000000" w:rsidP="00000000" w:rsidRDefault="00000000" w:rsidRPr="00000000" w14:paraId="00000048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x∣W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=∫</m:t>
        </m:r>
        <m:nary>
          <m:naryPr>
            <m:chr m:val="∏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naryPr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/>
        </m:nary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 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∣W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 dη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los grupos difieren en sus puntuaciones observadas, esto debe ser porque difieren en el rasgo latente</w:t>
      </w:r>
    </w:p>
    <w:p w:rsidR="00000000" w:rsidDel="00000000" w:rsidP="00000000" w:rsidRDefault="00000000" w:rsidRPr="00000000" w14:paraId="0000004A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x∣W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≠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→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∣W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≠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</m:oMath>
      <w:r w:rsidDel="00000000" w:rsidR="00000000" w:rsidRPr="00000000">
        <w:rPr>
          <w:rtl w:val="0"/>
        </w:rPr>
      </w:r>
    </w:p>
    <w:bookmarkStart w:colFirst="0" w:colLast="0" w:name="bookmark=id.lnxbz9" w:id="13"/>
    <w:bookmarkEnd w:id="13"/>
    <w:p w:rsidR="00000000" w:rsidDel="00000000" w:rsidP="00000000" w:rsidRDefault="00000000" w:rsidRPr="00000000" w14:paraId="0000004B">
      <w:pPr>
        <w:pStyle w:val="Heading2"/>
        <w:rPr/>
      </w:pPr>
      <w:r w:rsidDel="00000000" w:rsidR="00000000" w:rsidRPr="00000000">
        <w:rPr>
          <w:rtl w:val="0"/>
        </w:rPr>
        <w:t xml:space="preserve">FDI</w:t>
      </w:r>
    </w:p>
    <w:p w:rsidR="00000000" w:rsidDel="00000000" w:rsidP="00000000" w:rsidRDefault="00000000" w:rsidRPr="00000000" w14:paraId="0000004C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x∣W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=∫</m:t>
        </m:r>
        <m:nary>
          <m:naryPr>
            <m:chr m:val="∏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naryPr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/>
        </m:nary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 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∣W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 dη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FDI: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≠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para el item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j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1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modelo de medición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sí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depende de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W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para algunos ítems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1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Esto es justo lo opuesto de IM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1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veces llamado "sesgo de medición"</w:t>
      </w:r>
    </w:p>
    <w:bookmarkStart w:colFirst="0" w:colLast="0" w:name="bookmark=id.35nkun2" w:id="14"/>
    <w:bookmarkEnd w:id="14"/>
    <w:p w:rsidR="00000000" w:rsidDel="00000000" w:rsidP="00000000" w:rsidRDefault="00000000" w:rsidRPr="00000000" w14:paraId="00000051">
      <w:pPr>
        <w:pStyle w:val="Heading2"/>
        <w:rPr/>
      </w:pPr>
      <w:r w:rsidDel="00000000" w:rsidR="00000000" w:rsidRPr="00000000">
        <w:rPr>
          <w:rtl w:val="0"/>
        </w:rPr>
        <w:t xml:space="preserve">Implicaciones de FDI</w:t>
      </w:r>
    </w:p>
    <w:p w:rsidR="00000000" w:rsidDel="00000000" w:rsidP="00000000" w:rsidRDefault="00000000" w:rsidRPr="00000000" w14:paraId="00000052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x∣W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=∫</m:t>
        </m:r>
        <m:nary>
          <m:naryPr>
            <m:chr m:val="∏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naryPr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/>
        </m:nary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 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∣W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 dη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los grupos difieren en sus puntuaciones observadas, esto podría ser porque: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1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2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216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modelo de población difiere entre grupos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1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2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216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modelo de medición difiere entre grupos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1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2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216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ambos</w:t>
      </w:r>
    </w:p>
    <w:bookmarkStart w:colFirst="0" w:colLast="0" w:name="bookmark=id.1ksv4uv" w:id="15"/>
    <w:bookmarkEnd w:id="15"/>
    <w:p w:rsidR="00000000" w:rsidDel="00000000" w:rsidP="00000000" w:rsidRDefault="00000000" w:rsidRPr="00000000" w14:paraId="0000005A">
      <w:pPr>
        <w:pStyle w:val="Heading2"/>
        <w:rPr/>
      </w:pPr>
      <w:r w:rsidDel="00000000" w:rsidR="00000000" w:rsidRPr="00000000">
        <w:rPr>
          <w:rtl w:val="0"/>
        </w:rPr>
        <w:t xml:space="preserve">¿Por qué el FDI es un problema?</w:t>
      </w:r>
    </w:p>
    <w:p w:rsidR="00000000" w:rsidDel="00000000" w:rsidP="00000000" w:rsidRDefault="00000000" w:rsidRPr="00000000" w14:paraId="0000005B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x∣W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=∫</m:t>
        </m:r>
        <m:nary>
          <m:naryPr>
            <m:chr m:val="∏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naryPr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/>
        </m:nary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 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∣W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 dη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razones técnicas no podemos estimar este modelo si todos los ítems exhiben FDI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1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"La naturaleza circular del FDI"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1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Discutiremos más en la Parte 2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1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ahora, solo las implicaciones...</w:t>
      </w:r>
    </w:p>
    <w:bookmarkStart w:colFirst="0" w:colLast="0" w:name="bookmark=id.44sinio" w:id="16"/>
    <w:bookmarkEnd w:id="16"/>
    <w:p w:rsidR="00000000" w:rsidDel="00000000" w:rsidP="00000000" w:rsidRDefault="00000000" w:rsidRPr="00000000" w14:paraId="00000060">
      <w:pPr>
        <w:pStyle w:val="Heading2"/>
        <w:rPr/>
      </w:pPr>
      <w:r w:rsidDel="00000000" w:rsidR="00000000" w:rsidRPr="00000000">
        <w:rPr>
          <w:rtl w:val="0"/>
        </w:rPr>
        <w:t xml:space="preserve">¿Por qué el FDI es un problema?</w:t>
      </w:r>
    </w:p>
    <w:p w:rsidR="00000000" w:rsidDel="00000000" w:rsidP="00000000" w:rsidRDefault="00000000" w:rsidRPr="00000000" w14:paraId="00000061">
      <w:pPr>
        <w:numPr>
          <w:ilvl w:val="0"/>
          <w:numId w:val="63"/>
        </w:numPr>
        <w:ind w:left="720" w:hanging="480"/>
        <w:rPr/>
      </w:pPr>
      <w:r w:rsidDel="00000000" w:rsidR="00000000" w:rsidRPr="00000000">
        <w:rPr>
          <w:rtl w:val="0"/>
        </w:rPr>
        <w:t xml:space="preserve">Cuando calculamos y reportamos puntuaciones de pruebas usando x, estamos asumiendo implícitamente que los ítems no exhiben FDI (es decir, no están sesgados)</w:t>
      </w:r>
    </w:p>
    <w:p w:rsidR="00000000" w:rsidDel="00000000" w:rsidP="00000000" w:rsidRDefault="00000000" w:rsidRPr="00000000" w14:paraId="00000062">
      <w:pPr>
        <w:numPr>
          <w:ilvl w:val="0"/>
          <w:numId w:val="63"/>
        </w:numPr>
        <w:ind w:left="720" w:hanging="480"/>
        <w:rPr/>
      </w:pPr>
      <w:r w:rsidDel="00000000" w:rsidR="00000000" w:rsidRPr="00000000">
        <w:rPr>
          <w:rtl w:val="0"/>
        </w:rPr>
        <w:t xml:space="preserve">Si esta suposición es errónea: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1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Las puntuaciones de los individuos pueden estar sesgadas</w:t>
        <w:br w:type="textWrapping"/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1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Las estimaciones de diferencias de grupo basadas en puntuaciones de pruebas observadas pueden estar sesgadas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1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Las estimaciones de impacto usando modelos de variables latentes pueden estar sesgadas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1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</w:t>
      </w:r>
    </w:p>
    <w:bookmarkStart w:colFirst="0" w:colLast="0" w:name="bookmark=id.2jxsxqh" w:id="17"/>
    <w:bookmarkEnd w:id="17"/>
    <w:p w:rsidR="00000000" w:rsidDel="00000000" w:rsidP="00000000" w:rsidRDefault="00000000" w:rsidRPr="00000000" w14:paraId="00000067">
      <w:pPr>
        <w:pStyle w:val="Heading2"/>
        <w:rPr/>
      </w:pPr>
      <w:r w:rsidDel="00000000" w:rsidR="00000000" w:rsidRPr="00000000">
        <w:rPr>
          <w:rtl w:val="0"/>
        </w:rPr>
        <w:t xml:space="preserve">¿Qué pasa con la IM parcial?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 parcial significa que algunos, pero no todos, los ítems exhiben FDI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1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Mantener ítems sesgados puede estar bien en algunos entornos de investigación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Pero el objetivo habitual del análisis de FDI es eliminar cualquier ítem con FDI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1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 decir, el objetivo es IM completa, no IM parcial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1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 sigue siendo el enfoque estándar en el desarrollo de pruebas: eliminar ítems con FDI antes de informar los puntajes.</w:t>
      </w:r>
    </w:p>
    <w:bookmarkStart w:colFirst="0" w:colLast="0" w:name="bookmark=id.z337ya" w:id="18"/>
    <w:bookmarkEnd w:id="18"/>
    <w:p w:rsidR="00000000" w:rsidDel="00000000" w:rsidP="00000000" w:rsidRDefault="00000000" w:rsidRPr="00000000" w14:paraId="0000006D">
      <w:pPr>
        <w:pStyle w:val="Heading2"/>
        <w:rPr/>
      </w:pPr>
      <w:r w:rsidDel="00000000" w:rsidR="00000000" w:rsidRPr="00000000">
        <w:rPr>
          <w:rtl w:val="0"/>
        </w:rPr>
        <w:t xml:space="preserve">¿Qué pasa con los diferentes modelos?</w:t>
      </w:r>
    </w:p>
    <w:p w:rsidR="00000000" w:rsidDel="00000000" w:rsidP="00000000" w:rsidRDefault="00000000" w:rsidRPr="00000000" w14:paraId="0000006E">
      <w:pPr>
        <w:numPr>
          <w:ilvl w:val="0"/>
          <w:numId w:val="82"/>
        </w:numPr>
        <w:ind w:left="720" w:hanging="480"/>
        <w:rPr/>
      </w:pPr>
      <w:r w:rsidDel="00000000" w:rsidR="00000000" w:rsidRPr="00000000">
        <w:rPr>
          <w:rtl w:val="0"/>
        </w:rPr>
        <w:t xml:space="preserve">Acabamos de ver cómo definir IM / FDI en general</w:t>
      </w:r>
    </w:p>
    <w:p w:rsidR="00000000" w:rsidDel="00000000" w:rsidP="00000000" w:rsidRDefault="00000000" w:rsidRPr="00000000" w14:paraId="0000006F">
      <w:pPr>
        <w:numPr>
          <w:ilvl w:val="0"/>
          <w:numId w:val="82"/>
        </w:numPr>
        <w:ind w:left="720" w:hanging="480"/>
        <w:rPr/>
      </w:pPr>
      <w:r w:rsidDel="00000000" w:rsidR="00000000" w:rsidRPr="00000000">
        <w:rPr>
          <w:rtl w:val="0"/>
        </w:rPr>
        <w:t xml:space="preserve">Sin embargo,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1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 fue desarrollado en la literatura de análisis factorial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1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FDI fue desarrollado en la literatura de TRI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1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 Thissen (2023) para una revisión histórica</w:t>
      </w:r>
    </w:p>
    <w:bookmarkStart w:colFirst="0" w:colLast="0" w:name="bookmark=id.3j2qqm3" w:id="19"/>
    <w:bookmarkEnd w:id="19"/>
    <w:p w:rsidR="00000000" w:rsidDel="00000000" w:rsidP="00000000" w:rsidRDefault="00000000" w:rsidRPr="00000000" w14:paraId="00000073">
      <w:pPr>
        <w:pStyle w:val="Heading2"/>
        <w:rPr/>
      </w:pPr>
      <w:r w:rsidDel="00000000" w:rsidR="00000000" w:rsidRPr="00000000">
        <w:rPr>
          <w:rtl w:val="0"/>
        </w:rPr>
        <w:t xml:space="preserve">¿Qué pasa con los diferentes modelos?</w:t>
      </w:r>
    </w:p>
    <w:p w:rsidR="00000000" w:rsidDel="00000000" w:rsidP="00000000" w:rsidRDefault="00000000" w:rsidRPr="00000000" w14:paraId="00000074">
      <w:pPr>
        <w:numPr>
          <w:ilvl w:val="0"/>
          <w:numId w:val="84"/>
        </w:numPr>
        <w:ind w:left="720" w:hanging="480"/>
        <w:rPr/>
      </w:pPr>
      <w:r w:rsidDel="00000000" w:rsidR="00000000" w:rsidRPr="00000000">
        <w:rPr>
          <w:rtl w:val="0"/>
        </w:rPr>
        <w:t xml:space="preserve">Los modelos, las pruebas, las convenciones y el software para IM y FDI difieren por razones históricas</w:t>
      </w:r>
    </w:p>
    <w:p w:rsidR="00000000" w:rsidDel="00000000" w:rsidP="00000000" w:rsidRDefault="00000000" w:rsidRPr="00000000" w14:paraId="00000075">
      <w:pPr>
        <w:numPr>
          <w:ilvl w:val="0"/>
          <w:numId w:val="84"/>
        </w:numPr>
        <w:ind w:left="720" w:hanging="480"/>
        <w:rPr/>
      </w:pPr>
      <w:r w:rsidDel="00000000" w:rsidR="00000000" w:rsidRPr="00000000">
        <w:rPr>
          <w:rtl w:val="0"/>
        </w:rPr>
        <w:t xml:space="preserve">Podemos abordar tanto IM como FDI usando cualquiera de los modelos, pero actualmente es más fácil seguir con las distinciones tradicionales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1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¡El software de análisis factorial facilita la prueba de IM!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1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¡El software de TRI facilita la prueba de FDI!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1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Puedes cambiar esto, pero requiere (un poco) más de trabajo</w:t>
      </w:r>
    </w:p>
    <w:bookmarkStart w:colFirst="0" w:colLast="0" w:name="bookmark=id.1y810tw" w:id="20"/>
    <w:bookmarkEnd w:id="20"/>
    <w:p w:rsidR="00000000" w:rsidDel="00000000" w:rsidP="00000000" w:rsidRDefault="00000000" w:rsidRPr="00000000" w14:paraId="00000079">
      <w:pPr>
        <w:pStyle w:val="Heading2"/>
        <w:rPr/>
      </w:pPr>
      <w:r w:rsidDel="00000000" w:rsidR="00000000" w:rsidRPr="00000000">
        <w:rPr>
          <w:rtl w:val="0"/>
        </w:rPr>
        <w:t xml:space="preserve">Comparación amplia entre modelos</w:t>
      </w:r>
    </w:p>
    <w:tbl>
      <w:tblPr>
        <w:tblStyle w:val="Table1"/>
        <w:tblW w:w="9513.0" w:type="dxa"/>
        <w:jc w:val="left"/>
        <w:tblInd w:w="-108.0" w:type="dxa"/>
        <w:tblLayout w:type="fixed"/>
        <w:tblLook w:val="0020"/>
      </w:tblPr>
      <w:tblGrid>
        <w:gridCol w:w="2574"/>
        <w:gridCol w:w="3022"/>
        <w:gridCol w:w="3917"/>
        <w:tblGridChange w:id="0">
          <w:tblGrid>
            <w:gridCol w:w="2574"/>
            <w:gridCol w:w="3022"/>
            <w:gridCol w:w="3917"/>
          </w:tblGrid>
        </w:tblGridChange>
      </w:tblGrid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Característica</w:t>
            </w:r>
          </w:p>
        </w:tc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Análisis factorial</w:t>
            </w:r>
          </w:p>
        </w:tc>
        <w:tc>
          <w:tcPr/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Dimensionalidad del rasgo latente</w:t>
            </w:r>
          </w:p>
        </w:tc>
        <w:tc>
          <w:tcPr/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multidimensional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Unidimensional (¡tradicionalmente!)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Tratamiento de datos categóricos</w:t>
            </w:r>
          </w:p>
        </w:tc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Variables de respuesta latentes</w:t>
            </w:r>
          </w:p>
        </w:tc>
        <w:tc>
          <w:tcPr/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Funciones de respuesta del ítem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Estimación del modelo</w:t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Correlaciones policóricas (WLS)</w:t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Máxima verosimilitud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Parametrización del modelo</w:t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General, muchos "parámetros adicionales"</w:t>
            </w:r>
          </w:p>
        </w:tc>
        <w:tc>
          <w:tcPr/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Específico, solo incluye parámetros utilizados en un modelo dado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Visualización principal</w:t>
            </w:r>
          </w:p>
        </w:tc>
        <w:tc>
          <w:tcPr/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Diagrama de caminos</w:t>
            </w:r>
          </w:p>
        </w:tc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Funciones de respuesta del ítem</w:t>
            </w:r>
          </w:p>
        </w:tc>
      </w:tr>
    </w:tbl>
    <w:bookmarkStart w:colFirst="0" w:colLast="0" w:name="bookmark=id.4i7ojhp" w:id="21"/>
    <w:bookmarkEnd w:id="21"/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f81bd"/>
          <w:sz w:val="28"/>
          <w:szCs w:val="28"/>
          <w:u w:val="none"/>
          <w:shd w:fill="auto" w:val="clear"/>
          <w:vertAlign w:val="baseline"/>
          <w:rtl w:val="0"/>
        </w:rPr>
        <w:t xml:space="preserve">Comparación amplia entre modelos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2517648"/>
            <wp:effectExtent b="0" l="0" r="0" t="0"/>
            <wp:docPr id="14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176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bookmark=id.2xcytpi" w:id="22"/>
    <w:bookmarkEnd w:id="22"/>
    <w:p w:rsidR="00000000" w:rsidDel="00000000" w:rsidP="00000000" w:rsidRDefault="00000000" w:rsidRPr="00000000" w14:paraId="0000008D">
      <w:pPr>
        <w:pStyle w:val="Heading2"/>
        <w:rPr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 / FDI tratan sobre el modelo de medición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1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Queremos asegurarnos de que la medición no dependa, por ejemplo, del género de una persona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impacto trata sobre el modelo de población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1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Puede o no haber diferencias de grupo en el constructo objetivo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 IM (parcial), no podemos saber si las diferencias observadas se deben al sesgo de medición, diferencias "verdaderas" en el constructo objetivo, o ambos</w:t>
      </w:r>
    </w:p>
    <w:bookmarkStart w:colFirst="0" w:colLast="0" w:name="bookmark=id.1ci93xb" w:id="23"/>
    <w:bookmarkEnd w:id="23"/>
    <w:p w:rsidR="00000000" w:rsidDel="00000000" w:rsidP="00000000" w:rsidRDefault="00000000" w:rsidRPr="00000000" w14:paraId="00000093">
      <w:pPr>
        <w:pStyle w:val="Heading1"/>
        <w:rPr/>
      </w:pPr>
      <w:r w:rsidDel="00000000" w:rsidR="00000000" w:rsidRPr="00000000">
        <w:rPr>
          <w:rtl w:val="0"/>
        </w:rPr>
        <w:t xml:space="preserve">Análisis Factorial para Datos Categóricos</w:t>
      </w:r>
    </w:p>
    <w:tbl>
      <w:tblPr>
        <w:tblStyle w:val="Table2"/>
        <w:tblW w:w="9576.0" w:type="dxa"/>
        <w:jc w:val="left"/>
        <w:tblInd w:w="-108.0" w:type="dxa"/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461846" cy="2012291"/>
                  <wp:effectExtent b="0" l="0" r="0" t="0"/>
                  <wp:docPr id="14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46" cy="20122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0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Enfoque en modelos unidimensionales</w:t>
      </w:r>
    </w:p>
    <w:bookmarkStart w:colFirst="0" w:colLast="0" w:name="bookmark=id.3whwml4" w:id="24"/>
    <w:bookmarkEnd w:id="24"/>
    <w:p w:rsidR="00000000" w:rsidDel="00000000" w:rsidP="00000000" w:rsidRDefault="00000000" w:rsidRPr="00000000" w14:paraId="00000097">
      <w:pPr>
        <w:pStyle w:val="Heading2"/>
        <w:rPr/>
      </w:pPr>
      <w:r w:rsidDel="00000000" w:rsidR="00000000" w:rsidRPr="00000000">
        <w:rPr>
          <w:rtl w:val="0"/>
        </w:rPr>
        <w:t xml:space="preserve">Modelo factorial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variables observadas continuas</w:t>
      </w:r>
    </w:p>
    <w:p w:rsidR="00000000" w:rsidDel="00000000" w:rsidP="00000000" w:rsidRDefault="00000000" w:rsidRPr="00000000" w14:paraId="00000099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ν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λ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η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ϵ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Suposiciones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1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m:t>η</m:t>
        </m:r>
        <m:r>
          <m:t>∼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κ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ϕ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    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 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ϵ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∼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0,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θ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1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cov</m:t>
        </m:r>
        <m:d>
          <m:dPr>
            <m:begChr m:val="["/>
            <m:endChr m:val="]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" w:cs="Cambria" w:eastAsia="Cambria" w:hAnsi="Cambri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ϵ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=0 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 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cov</m:t>
        </m:r>
        <m:d>
          <m:dPr>
            <m:begChr m:val="["/>
            <m:endChr m:val="]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" w:cs="Cambria" w:eastAsia="Cambria" w:hAnsi="Cambri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ϵ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ϵ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k</m:t>
                </m:r>
              </m:sub>
            </m:sSub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. 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¡No funciona cuando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es categórica!</w:t>
      </w:r>
    </w:p>
    <w:bookmarkStart w:colFirst="0" w:colLast="0" w:name="bookmark=id.2bn6wsx" w:id="25"/>
    <w:bookmarkEnd w:id="25"/>
    <w:p w:rsidR="00000000" w:rsidDel="00000000" w:rsidP="00000000" w:rsidRDefault="00000000" w:rsidRPr="00000000" w14:paraId="0000009F">
      <w:pPr>
        <w:pStyle w:val="Heading2"/>
        <w:rPr/>
      </w:pPr>
      <w:r w:rsidDel="00000000" w:rsidR="00000000" w:rsidRPr="00000000">
        <w:rPr>
          <w:rtl w:val="0"/>
        </w:rPr>
        <w:t xml:space="preserve">Variables de respuesta latentes (VRL)</w:t>
      </w:r>
    </w:p>
    <w:p w:rsidR="00000000" w:rsidDel="00000000" w:rsidP="00000000" w:rsidRDefault="00000000" w:rsidRPr="00000000" w14:paraId="000000A0">
      <w:pPr>
        <w:numPr>
          <w:ilvl w:val="0"/>
          <w:numId w:val="104"/>
        </w:numPr>
        <w:ind w:left="720" w:hanging="480"/>
        <w:rPr/>
      </w:pPr>
      <w:r w:rsidDel="00000000" w:rsidR="00000000" w:rsidRPr="00000000">
        <w:rPr>
          <w:rtl w:val="0"/>
        </w:rPr>
        <w:t xml:space="preserve">El análisis factorial trabaja con datos categóricos introduciendo un nuevo tipo de variable latente</w:t>
      </w:r>
    </w:p>
    <w:p w:rsidR="00000000" w:rsidDel="00000000" w:rsidP="00000000" w:rsidRDefault="00000000" w:rsidRPr="00000000" w14:paraId="000000A1">
      <w:pPr>
        <w:numPr>
          <w:ilvl w:val="0"/>
          <w:numId w:val="104"/>
        </w:numPr>
        <w:ind w:left="720" w:hanging="480"/>
        <w:rPr/>
      </w:pPr>
      <w:r w:rsidDel="00000000" w:rsidR="00000000" w:rsidRPr="00000000">
        <w:rPr>
          <w:rtl w:val="0"/>
        </w:rPr>
        <w:t xml:space="preserve">Para cada variable observada categórica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</m:sSub>
      </m:oMath>
      <w:r w:rsidDel="00000000" w:rsidR="00000000" w:rsidRPr="00000000">
        <w:rPr>
          <w:rtl w:val="0"/>
        </w:rPr>
        <w:t xml:space="preserve">, asumimos que existe una variable de respuesta latente </w:t>
      </w:r>
      <m:oMath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*</m:t>
            </m:r>
          </m:sup>
        </m:sSub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1"/>
          <w:numId w:val="1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¡No es una variable de interés sustantivo, solo una comodidad matemática!</w:t>
      </w:r>
    </w:p>
    <w:p w:rsidR="00000000" w:rsidDel="00000000" w:rsidP="00000000" w:rsidRDefault="00000000" w:rsidRPr="00000000" w14:paraId="000000A3">
      <w:pPr>
        <w:numPr>
          <w:ilvl w:val="1"/>
          <w:numId w:val="105"/>
        </w:numPr>
        <w:ind w:left="1440" w:hanging="480"/>
        <w:rPr/>
      </w:pPr>
      <w:r w:rsidDel="00000000" w:rsidR="00000000" w:rsidRPr="00000000">
        <w:rPr>
          <w:rtl w:val="0"/>
        </w:rPr>
        <w:t xml:space="preserve">Ilustraciones en las siguientes diapositivas</w:t>
      </w:r>
    </w:p>
    <w:bookmarkStart w:colFirst="0" w:colLast="0" w:name="bookmark=id.qsh70q" w:id="26"/>
    <w:bookmarkEnd w:id="26"/>
    <w:p w:rsidR="00000000" w:rsidDel="00000000" w:rsidP="00000000" w:rsidRDefault="00000000" w:rsidRPr="00000000" w14:paraId="000000A4">
      <w:pPr>
        <w:pStyle w:val="Heading2"/>
        <w:rPr/>
      </w:pPr>
      <w:r w:rsidDel="00000000" w:rsidR="00000000" w:rsidRPr="00000000">
        <w:rPr>
          <w:rtl w:val="0"/>
        </w:rPr>
        <w:t xml:space="preserve">VRL: ¿Por qué?</w:t>
      </w:r>
    </w:p>
    <w:p w:rsidR="00000000" w:rsidDel="00000000" w:rsidP="00000000" w:rsidRDefault="00000000" w:rsidRPr="00000000" w14:paraId="000000A5">
      <w:pPr>
        <w:numPr>
          <w:ilvl w:val="0"/>
          <w:numId w:val="106"/>
        </w:numPr>
        <w:ind w:left="720" w:hanging="480"/>
        <w:rPr/>
      </w:pPr>
      <w:r w:rsidDel="00000000" w:rsidR="00000000" w:rsidRPr="00000000">
        <w:rPr>
          <w:rtl w:val="0"/>
        </w:rPr>
        <w:t xml:space="preserve">Beneficio: puede hacer análisis factorial "como de costumbre" con </w:t>
      </w:r>
      <m:oMath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*</m:t>
            </m:r>
          </m:sup>
        </m:sSub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1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Cuando la vida te da limones, haz limonada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1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Cuando la vida te da datos categóricos, haz datos continuos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Costo: introduce nuevas variables</w:t>
      </w: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X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*</m:t>
            </m:r>
          </m:sup>
        </m:sSubSup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(y sus parámetros) que no significan nada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1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Será un poco molesto más adelante</w:t>
      </w:r>
    </w:p>
    <w:bookmarkStart w:colFirst="0" w:colLast="0" w:name="bookmark=id.3as4poj" w:id="27"/>
    <w:bookmarkEnd w:id="27"/>
    <w:p w:rsidR="00000000" w:rsidDel="00000000" w:rsidP="00000000" w:rsidRDefault="00000000" w:rsidRPr="00000000" w14:paraId="000000AA">
      <w:pPr>
        <w:pStyle w:val="Heading1"/>
        <w:rPr/>
      </w:pPr>
      <w:r w:rsidDel="00000000" w:rsidR="00000000" w:rsidRPr="00000000">
        <w:rPr>
          <w:rtl w:val="0"/>
        </w:rPr>
        <w:t xml:space="preserve">VRL: Cómo funcionan</w:t>
      </w:r>
    </w:p>
    <w:tbl>
      <w:tblPr>
        <w:tblStyle w:val="Table3"/>
        <w:tblW w:w="9576.0" w:type="dxa"/>
        <w:jc w:val="left"/>
        <w:tblInd w:w="-108.0" w:type="dxa"/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B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5026454"/>
                  <wp:effectExtent b="0" l="0" r="0" t="0"/>
                  <wp:docPr id="14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50264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0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Figura: Wirth &amp; Edwards, 2007</w:t>
            </w:r>
          </w:p>
        </w:tc>
      </w:tr>
    </w:tbl>
    <w:bookmarkStart w:colFirst="0" w:colLast="0" w:name="bookmark=id.1pxezwc" w:id="28"/>
    <w:bookmarkEnd w:id="28"/>
    <w:p w:rsidR="00000000" w:rsidDel="00000000" w:rsidP="00000000" w:rsidRDefault="00000000" w:rsidRPr="00000000" w14:paraId="000000AD">
      <w:pPr>
        <w:pStyle w:val="Heading2"/>
        <w:rPr/>
      </w:pPr>
      <w:r w:rsidDel="00000000" w:rsidR="00000000" w:rsidRPr="00000000">
        <w:rPr>
          <w:rtl w:val="0"/>
        </w:rPr>
        <w:t xml:space="preserve">Dos ideas principales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1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Primera idea: Definir el umbral de una variable de respuesta latente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1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Asume que las VRL están normalmente distribuidas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1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Nos permite manejar datos categóricos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Segunda idea: correlaciones tetracóricas y policóricas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1"/>
          <w:numId w:val="1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Asume que pares de VRL son bivariadamente normales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1"/>
          <w:numId w:val="1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Nos permite estimar el modelo factorial</w:t>
      </w:r>
    </w:p>
    <w:bookmarkStart w:colFirst="0" w:colLast="0" w:name="bookmark=id.49x2ik5" w:id="29"/>
    <w:bookmarkEnd w:id="29"/>
    <w:p w:rsidR="00000000" w:rsidDel="00000000" w:rsidP="00000000" w:rsidRDefault="00000000" w:rsidRPr="00000000" w14:paraId="000000B4">
      <w:pPr>
        <w:pStyle w:val="Heading2"/>
        <w:rPr/>
      </w:pPr>
      <w:r w:rsidDel="00000000" w:rsidR="00000000" w:rsidRPr="00000000">
        <w:rPr>
          <w:rtl w:val="0"/>
        </w:rPr>
        <w:t xml:space="preserve">Umbralización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x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rnorm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20000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par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mfrow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hist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(x,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col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"#af7ac5"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freq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F,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main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"Latent response (continuous)"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thresholds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abline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v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thresholds,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lty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lwd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col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hist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cut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(x, thresholds,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labels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F),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col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"#af7ac5"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freq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F,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main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"Observed response (categorical)"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4267200"/>
            <wp:effectExtent b="0" l="0" r="0" t="0"/>
            <wp:docPr id="14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bookmark=id.2p2csry" w:id="30"/>
    <w:bookmarkEnd w:id="30"/>
    <w:p w:rsidR="00000000" w:rsidDel="00000000" w:rsidP="00000000" w:rsidRDefault="00000000" w:rsidRPr="00000000" w14:paraId="000000B7">
      <w:pPr>
        <w:pStyle w:val="Heading2"/>
        <w:rPr/>
      </w:pPr>
      <w:r w:rsidDel="00000000" w:rsidR="00000000" w:rsidRPr="00000000">
        <w:rPr>
          <w:rtl w:val="0"/>
        </w:rPr>
        <w:t xml:space="preserve">Definir el umbral de una variable latente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par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mfrow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hist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(x,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col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"#af7ac5"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freq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F,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main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"Latent response (continuous)"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thresholds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1.5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5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.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5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1.5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abline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v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thresholds,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lty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lwd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col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hist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cut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(x, thresholds,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labels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F),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col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"#af7ac5"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freq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F,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main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"Observed response (categorical)"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4267200"/>
            <wp:effectExtent b="0" l="0" r="0" t="0"/>
            <wp:docPr id="15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bookmark=id.147n2zr" w:id="31"/>
    <w:bookmarkEnd w:id="31"/>
    <w:p w:rsidR="00000000" w:rsidDel="00000000" w:rsidP="00000000" w:rsidRDefault="00000000" w:rsidRPr="00000000" w14:paraId="000000BA">
      <w:pPr>
        <w:pStyle w:val="Heading2"/>
        <w:rPr/>
      </w:pPr>
      <w:r w:rsidDel="00000000" w:rsidR="00000000" w:rsidRPr="00000000">
        <w:rPr>
          <w:rtl w:val="0"/>
        </w:rPr>
        <w:t xml:space="preserve">Definir el umbral de una variable latente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par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mfrow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hist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(x,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col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"#af7ac5"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freq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F,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main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"Latent response (continuous)"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thresholds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.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5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1.5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abline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v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thresholds,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lty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lwd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col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hist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cut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(x, thresholds,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labels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F),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col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"#af7ac5"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freq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F,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main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"Observed response (categorical)"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4267200"/>
            <wp:effectExtent b="0" l="0" r="0" t="0"/>
            <wp:docPr id="15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bookmark=id.3o7alnk" w:id="32"/>
    <w:bookmarkEnd w:id="32"/>
    <w:p w:rsidR="00000000" w:rsidDel="00000000" w:rsidP="00000000" w:rsidRDefault="00000000" w:rsidRPr="00000000" w14:paraId="000000BD">
      <w:pPr>
        <w:pStyle w:val="Heading2"/>
        <w:rPr/>
      </w:pPr>
      <w:r w:rsidDel="00000000" w:rsidR="00000000" w:rsidRPr="00000000">
        <w:rPr>
          <w:rtl w:val="0"/>
        </w:rPr>
        <w:t xml:space="preserve">Correlación tetracórica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knitr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::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include_graphics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"tetrachoric.png"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tbl>
      <w:tblPr>
        <w:tblStyle w:val="Table4"/>
        <w:tblW w:w="9576.0" w:type="dxa"/>
        <w:jc w:val="left"/>
        <w:tblInd w:w="-108.0" w:type="dxa"/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F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3021026"/>
                  <wp:effectExtent b="0" l="0" r="0" t="0"/>
                  <wp:docPr id="15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0210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0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Correlación de respuestas observadas: Coeficiente Phi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Correlación de respuestas latentes: Correlación tetracórica</w:t>
      </w:r>
    </w:p>
    <w:bookmarkStart w:colFirst="0" w:colLast="0" w:name="bookmark=id.23ckvvd" w:id="33"/>
    <w:bookmarkEnd w:id="33"/>
    <w:p w:rsidR="00000000" w:rsidDel="00000000" w:rsidP="00000000" w:rsidRDefault="00000000" w:rsidRPr="00000000" w14:paraId="000000C3">
      <w:pPr>
        <w:pStyle w:val="Heading2"/>
        <w:rPr/>
      </w:pPr>
      <w:r w:rsidDel="00000000" w:rsidR="00000000" w:rsidRPr="00000000">
        <w:rPr>
          <w:rtl w:val="0"/>
        </w:rPr>
        <w:t xml:space="preserve">Correlación policórica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knitr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::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include_graphics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"polychoric.png"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tbl>
      <w:tblPr>
        <w:tblStyle w:val="Table5"/>
        <w:tblW w:w="9576.0" w:type="dxa"/>
        <w:jc w:val="left"/>
        <w:tblInd w:w="-108.0" w:type="dxa"/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5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3267583"/>
                  <wp:effectExtent b="0" l="0" r="0" t="0"/>
                  <wp:docPr id="15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2675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0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Correlación de ítems observados: Spearman, …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Correlación de respuestas latentes: Correlación policórica</w:t>
      </w:r>
    </w:p>
    <w:bookmarkStart w:colFirst="0" w:colLast="0" w:name="bookmark=id.ihv636" w:id="34"/>
    <w:bookmarkEnd w:id="34"/>
    <w:p w:rsidR="00000000" w:rsidDel="00000000" w:rsidP="00000000" w:rsidRDefault="00000000" w:rsidRPr="00000000" w14:paraId="000000C9">
      <w:pPr>
        <w:pStyle w:val="Heading2"/>
        <w:rPr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Las VRL se utilizan para tratar con datos categóricos en el análisis factorial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Las correlaciones entre las VRL se modelan en lugar de modelar directamente los datos categóricos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1"/>
          <w:numId w:val="1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Estas se llaman correlaciones tetracóricas y policóricas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¡Todo esto se hace por conveniencia matemática!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1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Las VRL (usualmente) no representan conceptos sustantivos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numPr>
          <w:ilvl w:val="1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aparecen en TRI, que es una diferencia principal entre los modelos</w:t>
      </w:r>
    </w:p>
    <w:bookmarkStart w:colFirst="0" w:colLast="0" w:name="bookmark=id.32hioqz" w:id="35"/>
    <w:bookmarkEnd w:id="35"/>
    <w:p w:rsidR="00000000" w:rsidDel="00000000" w:rsidP="00000000" w:rsidRDefault="00000000" w:rsidRPr="00000000" w14:paraId="000000D0">
      <w:pPr>
        <w:pStyle w:val="Heading1"/>
        <w:rPr/>
      </w:pPr>
      <w:r w:rsidDel="00000000" w:rsidR="00000000" w:rsidRPr="00000000">
        <w:rPr>
          <w:rtl w:val="0"/>
        </w:rPr>
        <w:t xml:space="preserve">Volvemos al Modelo Factorial…</w:t>
      </w:r>
    </w:p>
    <w:bookmarkStart w:colFirst="0" w:colLast="0" w:name="bookmark=id.1hmsyys" w:id="36"/>
    <w:bookmarkEnd w:id="36"/>
    <w:p w:rsidR="00000000" w:rsidDel="00000000" w:rsidP="00000000" w:rsidRDefault="00000000" w:rsidRPr="00000000" w14:paraId="000000D1">
      <w:pPr>
        <w:pStyle w:val="Heading2"/>
        <w:rPr/>
      </w:pPr>
      <w:r w:rsidDel="00000000" w:rsidR="00000000" w:rsidRPr="00000000">
        <w:rPr>
          <w:rtl w:val="0"/>
        </w:rPr>
        <w:t xml:space="preserve">Modelo factorial para datos categóricos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Paso 1: Asumir que las variables categóricas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con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c=1,…,C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categorías surgen del umbral de una VRL</w:t>
      </w:r>
    </w:p>
    <w:p w:rsidR="00000000" w:rsidDel="00000000" w:rsidP="00000000" w:rsidRDefault="00000000" w:rsidRPr="00000000" w14:paraId="000000D3">
      <w:pPr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{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1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if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-∞&lt;</m:t>
        </m:r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*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≤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τ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j1</m:t>
            </m:r>
          </m:sub>
        </m:sSub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2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if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τ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j1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&lt;</m:t>
        </m:r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*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≤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τ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j2</m:t>
            </m:r>
          </m:sub>
        </m:sSub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...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 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if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τ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j,C-1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&lt;</m:t>
        </m:r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*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≤∞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0"/>
          <w:numId w:val="1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parámetros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τ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d>
          <m:dPr>
            <m:begChr m:val="["/>
            <m:endChr m:val="]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τ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j1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,…,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τ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j,C-1</m:t>
                </m:r>
              </m:sub>
            </m:sSub>
          </m:e>
        </m:d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llaman los umbrales del ítem</w:t>
      </w:r>
      <w:r w:rsidDel="00000000" w:rsidR="00000000" w:rsidRPr="00000000">
        <w:rPr>
          <w:rtl w:val="0"/>
        </w:rPr>
      </w:r>
    </w:p>
    <w:bookmarkStart w:colFirst="0" w:colLast="0" w:name="bookmark=id.41mghml" w:id="37"/>
    <w:bookmarkEnd w:id="37"/>
    <w:p w:rsidR="00000000" w:rsidDel="00000000" w:rsidP="00000000" w:rsidRDefault="00000000" w:rsidRPr="00000000" w14:paraId="000000D5">
      <w:pPr>
        <w:pStyle w:val="Heading2"/>
        <w:rPr/>
      </w:pPr>
      <w:r w:rsidDel="00000000" w:rsidR="00000000" w:rsidRPr="00000000">
        <w:rPr>
          <w:rtl w:val="0"/>
        </w:rPr>
        <w:t xml:space="preserve">Modelo factorial para datos categóricos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1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Paso 2: Modelo factorial para las VRLs</w:t>
      </w:r>
    </w:p>
    <w:p w:rsidR="00000000" w:rsidDel="00000000" w:rsidP="00000000" w:rsidRDefault="00000000" w:rsidRPr="00000000" w14:paraId="000000D7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*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ν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λ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η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ϵ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1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Suposiciones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m:t>η</m:t>
        </m:r>
        <m:r>
          <m:t>∼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κ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ϕ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    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 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ϵ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∼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0,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θ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cov</m:t>
        </m:r>
        <m:d>
          <m:dPr>
            <m:begChr m:val="["/>
            <m:endChr m:val="]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" w:cs="Cambria" w:eastAsia="Cambria" w:hAnsi="Cambri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ϵ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η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=0 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 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cov</m:t>
        </m:r>
        <m:d>
          <m:dPr>
            <m:begChr m:val="["/>
            <m:endChr m:val="]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" w:cs="Cambria" w:eastAsia="Cambria" w:hAnsi="Cambri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ϵ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ϵ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k</m:t>
                </m:r>
              </m:sub>
            </m:sSub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1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Igual que el modelo continuo, pero ahora para las VRLs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2grqrue" w:id="38"/>
    <w:bookmarkEnd w:id="38"/>
    <w:p w:rsidR="00000000" w:rsidDel="00000000" w:rsidP="00000000" w:rsidRDefault="00000000" w:rsidRPr="00000000" w14:paraId="000000DD">
      <w:pPr>
        <w:pStyle w:val="Heading2"/>
        <w:rPr/>
      </w:pPr>
      <w:r w:rsidDel="00000000" w:rsidR="00000000" w:rsidRPr="00000000">
        <w:rPr>
          <w:rtl w:val="0"/>
        </w:rPr>
        <w:t xml:space="preserve">Identificación del Modelo</w:t>
      </w:r>
    </w:p>
    <w:p w:rsidR="00000000" w:rsidDel="00000000" w:rsidP="00000000" w:rsidRDefault="00000000" w:rsidRPr="00000000" w14:paraId="000000DE">
      <w:pPr>
        <w:numPr>
          <w:ilvl w:val="0"/>
          <w:numId w:val="9"/>
        </w:numPr>
        <w:ind w:left="720" w:hanging="480"/>
        <w:rPr/>
      </w:pPr>
      <w:r w:rsidDel="00000000" w:rsidR="00000000" w:rsidRPr="00000000">
        <w:rPr>
          <w:rtl w:val="0"/>
        </w:rPr>
        <w:t xml:space="preserve">La identificación del modelo para datos categóricos es complicada</w:t>
      </w:r>
    </w:p>
    <w:p w:rsidR="00000000" w:rsidDel="00000000" w:rsidP="00000000" w:rsidRDefault="00000000" w:rsidRPr="00000000" w14:paraId="000000DF">
      <w:pPr>
        <w:numPr>
          <w:ilvl w:val="0"/>
          <w:numId w:val="9"/>
        </w:numPr>
        <w:ind w:left="720" w:hanging="480"/>
        <w:rPr/>
      </w:pPr>
      <w:r w:rsidDel="00000000" w:rsidR="00000000" w:rsidRPr="00000000">
        <w:rPr>
          <w:rtl w:val="0"/>
        </w:rPr>
        <w:t xml:space="preserve">Las VRLs introducen muchos parámetros que no podemos estimar realmente</w:t>
      </w:r>
    </w:p>
    <w:p w:rsidR="00000000" w:rsidDel="00000000" w:rsidP="00000000" w:rsidRDefault="00000000" w:rsidRPr="00000000" w14:paraId="000000E0">
      <w:pPr>
        <w:numPr>
          <w:ilvl w:val="0"/>
          <w:numId w:val="9"/>
        </w:numPr>
        <w:ind w:left="720" w:hanging="480"/>
        <w:rPr/>
      </w:pPr>
      <w:r w:rsidDel="00000000" w:rsidR="00000000" w:rsidRPr="00000000">
        <w:rPr>
          <w:rtl w:val="0"/>
        </w:rPr>
        <w:t xml:space="preserve">Versión corta: En el caso de un solo grupo, los únicos parámetros que podemos estimar son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las cargas factoriales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λ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umbrales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τ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tl w:val="0"/>
        </w:rPr>
      </w:r>
    </w:p>
    <w:bookmarkStart w:colFirst="0" w:colLast="0" w:name="bookmark=id.vx1227" w:id="39"/>
    <w:bookmarkEnd w:id="39"/>
    <w:p w:rsidR="00000000" w:rsidDel="00000000" w:rsidP="00000000" w:rsidRDefault="00000000" w:rsidRPr="00000000" w14:paraId="000000E3">
      <w:pPr>
        <w:pStyle w:val="Heading2"/>
        <w:rPr/>
      </w:pPr>
      <w:r w:rsidDel="00000000" w:rsidR="00000000" w:rsidRPr="00000000">
        <w:rPr>
          <w:rtl w:val="0"/>
        </w:rPr>
        <w:t xml:space="preserve">Identificación del Modelo</w:t>
      </w:r>
    </w:p>
    <w:p w:rsidR="00000000" w:rsidDel="00000000" w:rsidP="00000000" w:rsidRDefault="00000000" w:rsidRPr="00000000" w14:paraId="000000E4">
      <w:pPr>
        <w:numPr>
          <w:ilvl w:val="0"/>
          <w:numId w:val="1"/>
        </w:numPr>
        <w:ind w:left="720" w:hanging="480"/>
        <w:rPr/>
      </w:pPr>
      <w:r w:rsidDel="00000000" w:rsidR="00000000" w:rsidRPr="00000000">
        <w:rPr>
          <w:rtl w:val="0"/>
        </w:rPr>
        <w:t xml:space="preserve">Se complica más al probar para IM</w:t>
      </w:r>
    </w:p>
    <w:p w:rsidR="00000000" w:rsidDel="00000000" w:rsidP="00000000" w:rsidRDefault="00000000" w:rsidRPr="00000000" w14:paraId="000000E5">
      <w:pPr>
        <w:numPr>
          <w:ilvl w:val="0"/>
          <w:numId w:val="1"/>
        </w:numPr>
        <w:ind w:left="720" w:hanging="480"/>
        <w:rPr/>
      </w:pPr>
      <w:r w:rsidDel="00000000" w:rsidR="00000000" w:rsidRPr="00000000">
        <w:rPr>
          <w:rtl w:val="0"/>
        </w:rPr>
        <w:t xml:space="preserve">Podemos estimar algunos de los parámetros excluidos, pero diferentes autores usan diferentes enfoques</w:t>
      </w:r>
    </w:p>
    <w:p w:rsidR="00000000" w:rsidDel="00000000" w:rsidP="00000000" w:rsidRDefault="00000000" w:rsidRPr="00000000" w14:paraId="000000E6">
      <w:pPr>
        <w:numPr>
          <w:ilvl w:val="0"/>
          <w:numId w:val="1"/>
        </w:numPr>
        <w:ind w:left="720" w:hanging="480"/>
        <w:rPr/>
      </w:pPr>
      <w:r w:rsidDel="00000000" w:rsidR="00000000" w:rsidRPr="00000000">
        <w:rPr>
          <w:rtl w:val="0"/>
        </w:rPr>
        <w:t xml:space="preserve">Así que, para estar preparados para IM, ayuda revisar la versión larga de este problema para el caso de un solo grupo…</w:t>
      </w:r>
    </w:p>
    <w:bookmarkStart w:colFirst="0" w:colLast="0" w:name="bookmark=id.3fwokq0" w:id="40"/>
    <w:bookmarkEnd w:id="40"/>
    <w:p w:rsidR="00000000" w:rsidDel="00000000" w:rsidP="00000000" w:rsidRDefault="00000000" w:rsidRPr="00000000" w14:paraId="000000E7">
      <w:pPr>
        <w:pStyle w:val="Heading2"/>
        <w:rPr/>
      </w:pPr>
      <w:r w:rsidDel="00000000" w:rsidR="00000000" w:rsidRPr="00000000">
        <w:rPr>
          <w:rtl w:val="0"/>
        </w:rPr>
        <w:t xml:space="preserve">Identificación del Modelo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Estandarizar el rasgo latente como de costumbre: </w:t>
      </w:r>
      <m:oMath>
        <m:r>
          <m:t>η</m:t>
        </m:r>
        <m:r>
          <m:t>∼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0,1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ejemplo, establecer </w:t>
      </w:r>
      <m:oMath>
        <m:r>
          <m:t>κ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y </w:t>
      </w:r>
      <m:oMath>
        <m:r>
          <m:t>ϕ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Podemos fijar uno de los interceptos y las cargas factoriales en 1 en su lugar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las VRLs, también debemos establecer su escala, y hay dos maneras de hacer esto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“Parametrización Delta” - recomendado para interpretación, por defecto en lavaan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“Parametrización Theta” - puede simplificar la estimación, no se discutirá mucho</w:t>
      </w:r>
    </w:p>
    <w:bookmarkStart w:colFirst="0" w:colLast="0" w:name="bookmark=id.1v1yuxt" w:id="41"/>
    <w:bookmarkEnd w:id="41"/>
    <w:p w:rsidR="00000000" w:rsidDel="00000000" w:rsidP="00000000" w:rsidRDefault="00000000" w:rsidRPr="00000000" w14:paraId="000000EE">
      <w:pPr>
        <w:pStyle w:val="Heading2"/>
        <w:rPr/>
      </w:pPr>
      <w:r w:rsidDel="00000000" w:rsidR="00000000" w:rsidRPr="00000000">
        <w:rPr>
          <w:rtl w:val="0"/>
        </w:rPr>
        <w:t xml:space="preserve">Parametrización Delta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Estandarizar las VRLs como </w:t>
      </w: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*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∼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0,1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 decir, establecer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μ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y </w:t>
      </w: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SupPr>
          <m:e>
            <m:r>
              <m:t>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"Delta" se define como </w:t>
      </w:r>
      <m:oMath>
        <m:r>
          <m:t>Δ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=1/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por lo tanto, es equivalente a establecer </w:t>
      </w:r>
      <m:oMath>
        <m:r>
          <m:t>Δ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Equivalente a estandarizar los datos continuos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Las cargas factoriales se pueden interpretar como correlaciones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umbrales se pueden interpretar como puntuaciones-z</w:t>
      </w:r>
    </w:p>
    <w:bookmarkStart w:colFirst="0" w:colLast="0" w:name="bookmark=id.4f1mdlm" w:id="42"/>
    <w:bookmarkEnd w:id="42"/>
    <w:p w:rsidR="00000000" w:rsidDel="00000000" w:rsidP="00000000" w:rsidRDefault="00000000" w:rsidRPr="00000000" w14:paraId="000000F5">
      <w:pPr>
        <w:pStyle w:val="Heading2"/>
        <w:rPr/>
      </w:pPr>
      <w:r w:rsidDel="00000000" w:rsidR="00000000" w:rsidRPr="00000000">
        <w:rPr>
          <w:rtl w:val="0"/>
        </w:rPr>
        <w:t xml:space="preserve">Implicaciones de la Parametrización Delta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Establecer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μ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implica que los interceptos también son cero:</w:t>
      </w:r>
    </w:p>
    <w:p w:rsidR="00000000" w:rsidDel="00000000" w:rsidP="00000000" w:rsidRDefault="00000000" w:rsidRPr="00000000" w14:paraId="000000F7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μ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ν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λ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κ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ν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λ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numPr>
          <w:ilvl w:val="0"/>
          <w:numId w:val="18"/>
        </w:numPr>
        <w:ind w:left="720" w:hanging="480"/>
        <w:rPr/>
      </w:pPr>
      <w:r w:rsidDel="00000000" w:rsidR="00000000" w:rsidRPr="00000000">
        <w:rPr>
          <w:rtl w:val="0"/>
        </w:rPr>
        <w:t xml:space="preserve">Así que, $_j = 0 $</w:t>
      </w:r>
    </w:p>
    <w:p w:rsidR="00000000" w:rsidDel="00000000" w:rsidP="00000000" w:rsidRDefault="00000000" w:rsidRPr="00000000" w14:paraId="000000F9">
      <w:pPr>
        <w:numPr>
          <w:ilvl w:val="0"/>
          <w:numId w:val="18"/>
        </w:numPr>
        <w:ind w:left="720" w:hanging="480"/>
        <w:rPr/>
      </w:pPr>
      <w:r w:rsidDel="00000000" w:rsidR="00000000" w:rsidRPr="00000000">
        <w:rPr>
          <w:rtl w:val="0"/>
        </w:rPr>
        <w:t xml:space="preserve">Implicación: los interceptos de las VRLs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ν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</m:sSub>
      </m:oMath>
      <w:r w:rsidDel="00000000" w:rsidR="00000000" w:rsidRPr="00000000">
        <w:rPr>
          <w:rtl w:val="0"/>
        </w:rPr>
        <w:t xml:space="preserve"> no pueden ser estimados (fijados a cero)</w:t>
      </w:r>
    </w:p>
    <w:bookmarkStart w:colFirst="0" w:colLast="0" w:name="bookmark=id.2u6wntf" w:id="43"/>
    <w:bookmarkEnd w:id="43"/>
    <w:p w:rsidR="00000000" w:rsidDel="00000000" w:rsidP="00000000" w:rsidRDefault="00000000" w:rsidRPr="00000000" w14:paraId="000000FA">
      <w:pPr>
        <w:pStyle w:val="Heading2"/>
        <w:rPr/>
      </w:pPr>
      <w:r w:rsidDel="00000000" w:rsidR="00000000" w:rsidRPr="00000000">
        <w:rPr>
          <w:rtl w:val="0"/>
        </w:rPr>
        <w:t xml:space="preserve">Implicaciones de la Parametrización Delta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Establecer </w:t>
      </w: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SupPr>
          <m:e>
            <m:r>
              <m:t>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implica el valor de las varianzas residuales</w:t>
      </w:r>
    </w:p>
    <w:p w:rsidR="00000000" w:rsidDel="00000000" w:rsidP="00000000" w:rsidRDefault="00000000" w:rsidRPr="00000000" w14:paraId="000000FC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SupPr>
          <m:e>
            <m:r>
              <m:t>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=1=</m:t>
        </m:r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λ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ϕ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λ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bSup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numPr>
          <w:ilvl w:val="0"/>
          <w:numId w:val="20"/>
        </w:numPr>
        <w:ind w:left="720" w:hanging="480"/>
        <w:rPr/>
      </w:pPr>
      <w:r w:rsidDel="00000000" w:rsidR="00000000" w:rsidRPr="00000000">
        <w:rPr>
          <w:rtl w:val="0"/>
        </w:rPr>
        <w:t xml:space="preserve">Así que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θ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</w:rPr>
          <m:t xml:space="preserve">=1-</m:t>
        </m:r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>λ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b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numPr>
          <w:ilvl w:val="0"/>
          <w:numId w:val="20"/>
        </w:numPr>
        <w:ind w:left="720" w:hanging="480"/>
        <w:rPr/>
      </w:pPr>
      <w:r w:rsidDel="00000000" w:rsidR="00000000" w:rsidRPr="00000000">
        <w:rPr>
          <w:rtl w:val="0"/>
        </w:rPr>
        <w:t xml:space="preserve">Implicación: la varianza residual del modelo factorial no puede ser estimada (fija a </w:t>
      </w:r>
      <m:oMath>
        <m:r>
          <w:rPr>
            <w:rFonts w:ascii="Cambria Math" w:cs="Cambria Math" w:eastAsia="Cambria Math" w:hAnsi="Cambria Math"/>
          </w:rPr>
          <m:t xml:space="preserve">1-</m:t>
        </m:r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>λ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bSup>
      </m:oMath>
      <w:r w:rsidDel="00000000" w:rsidR="00000000" w:rsidRPr="00000000">
        <w:rPr>
          <w:rtl w:val="0"/>
        </w:rPr>
        <w:t xml:space="preserve">)</w:t>
      </w:r>
    </w:p>
    <w:bookmarkStart w:colFirst="0" w:colLast="0" w:name="bookmark=id.19c6y18" w:id="44"/>
    <w:bookmarkEnd w:id="44"/>
    <w:p w:rsidR="00000000" w:rsidDel="00000000" w:rsidP="00000000" w:rsidRDefault="00000000" w:rsidRPr="00000000" w14:paraId="000000FF">
      <w:pPr>
        <w:pStyle w:val="Heading2"/>
        <w:rPr/>
      </w:pPr>
      <w:r w:rsidDel="00000000" w:rsidR="00000000" w:rsidRPr="00000000">
        <w:rPr>
          <w:rtl w:val="0"/>
        </w:rPr>
        <w:t xml:space="preserve">Estimación en lavaan: Código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library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(lavaan)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dat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read.csv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"cint_data.csv"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Model syntax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mod1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'depression =~ cint1 + cint2 + cint4 + cint11 +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     cint27 + cint28 + cint29 + cint30'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Fit model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fit.delta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cfa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(mod1,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data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dat,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std.lv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T,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standardize latent variable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ordered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T)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data are ordered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Print model summary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summary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(fit.delta)</w:t>
      </w:r>
      <w:r w:rsidDel="00000000" w:rsidR="00000000" w:rsidRPr="00000000">
        <w:rPr>
          <w:rtl w:val="0"/>
        </w:rPr>
      </w:r>
    </w:p>
    <w:bookmarkStart w:colFirst="0" w:colLast="0" w:name="bookmark=id.3tbugp1" w:id="45"/>
    <w:bookmarkEnd w:id="45"/>
    <w:p w:rsidR="00000000" w:rsidDel="00000000" w:rsidP="00000000" w:rsidRDefault="00000000" w:rsidRPr="00000000" w14:paraId="00000101">
      <w:pPr>
        <w:pStyle w:val="Heading2"/>
        <w:rPr/>
      </w:pPr>
      <w:r w:rsidDel="00000000" w:rsidR="00000000" w:rsidRPr="00000000">
        <w:rPr>
          <w:rtl w:val="0"/>
        </w:rPr>
        <w:t xml:space="preserve">Estimación en lavaan: Salida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3188535"/>
            <wp:effectExtent b="0" l="0" r="0" t="0"/>
            <wp:docPr id="15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188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bookmark=id.28h4qwu" w:id="46"/>
    <w:bookmarkEnd w:id="46"/>
    <w:p w:rsidR="00000000" w:rsidDel="00000000" w:rsidP="00000000" w:rsidRDefault="00000000" w:rsidRPr="00000000" w14:paraId="00000103">
      <w:pPr>
        <w:pStyle w:val="Heading2"/>
        <w:rPr/>
      </w:pPr>
      <w:r w:rsidDel="00000000" w:rsidR="00000000" w:rsidRPr="00000000">
        <w:rPr>
          <w:rtl w:val="0"/>
        </w:rPr>
        <w:t xml:space="preserve">Estimación en lavaan: Salida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3057399"/>
            <wp:effectExtent b="0" l="0" r="0" t="0"/>
            <wp:docPr id="15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573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bookmark=id.nmf14n" w:id="47"/>
    <w:bookmarkEnd w:id="47"/>
    <w:p w:rsidR="00000000" w:rsidDel="00000000" w:rsidP="00000000" w:rsidRDefault="00000000" w:rsidRPr="00000000" w14:paraId="00000105">
      <w:pPr>
        <w:pStyle w:val="Heading2"/>
        <w:rPr/>
      </w:pPr>
      <w:r w:rsidDel="00000000" w:rsidR="00000000" w:rsidRPr="00000000">
        <w:rPr>
          <w:rtl w:val="0"/>
        </w:rPr>
        <w:t xml:space="preserve">Estimación en lavaan: Salida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3671750"/>
            <wp:effectExtent b="0" l="0" r="0" t="0"/>
            <wp:docPr id="15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6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bookmark=id.37m2jsg" w:id="48"/>
    <w:bookmarkEnd w:id="48"/>
    <w:p w:rsidR="00000000" w:rsidDel="00000000" w:rsidP="00000000" w:rsidRDefault="00000000" w:rsidRPr="00000000" w14:paraId="00000107">
      <w:pPr>
        <w:pStyle w:val="Heading2"/>
        <w:rPr/>
      </w:pPr>
      <w:r w:rsidDel="00000000" w:rsidR="00000000" w:rsidRPr="00000000">
        <w:rPr>
          <w:rtl w:val="0"/>
        </w:rPr>
        <w:t xml:space="preserve">Resumen de la Parametrización Delta</w:t>
      </w:r>
    </w:p>
    <w:p w:rsidR="00000000" w:rsidDel="00000000" w:rsidP="00000000" w:rsidRDefault="00000000" w:rsidRPr="00000000" w14:paraId="00000108">
      <w:pPr>
        <w:numPr>
          <w:ilvl w:val="0"/>
          <w:numId w:val="11"/>
        </w:numPr>
        <w:ind w:left="720" w:hanging="480"/>
        <w:rPr/>
      </w:pPr>
      <w:r w:rsidDel="00000000" w:rsidR="00000000" w:rsidRPr="00000000">
        <w:rPr>
          <w:rtl w:val="0"/>
        </w:rPr>
        <w:t xml:space="preserve">Los únicos parámetros que estimamos son las cargas factoriales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λ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</m:sSub>
      </m:oMath>
      <w:r w:rsidDel="00000000" w:rsidR="00000000" w:rsidRPr="00000000">
        <w:rPr>
          <w:rtl w:val="0"/>
        </w:rPr>
        <w:t xml:space="preserve"> y los umbrales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τ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jc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numPr>
          <w:ilvl w:val="0"/>
          <w:numId w:val="11"/>
        </w:numPr>
        <w:ind w:left="720" w:hanging="480"/>
        <w:rPr/>
      </w:pPr>
      <w:r w:rsidDel="00000000" w:rsidR="00000000" w:rsidRPr="00000000">
        <w:rPr>
          <w:rtl w:val="0"/>
        </w:rPr>
        <w:t xml:space="preserve">El rasgo latente está estandarizado: </w:t>
      </w:r>
      <m:oMath>
        <m:r>
          <m:t>η</m:t>
        </m:r>
        <m:r>
          <m:t>∼</m:t>
        </m:r>
        <m:r>
          <w:rPr>
            <w:rFonts w:ascii="Cambria Math" w:cs="Cambria Math" w:eastAsia="Cambria Math" w:hAnsi="Cambria Math"/>
          </w:rPr>
          <m:t xml:space="preserve">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0,1</m:t>
            </m:r>
          </m:e>
        </m:d>
      </m:oMath>
      <w:r w:rsidDel="00000000" w:rsidR="00000000" w:rsidRPr="00000000">
        <w:rPr>
          <w:rtl w:val="0"/>
        </w:rPr>
        <w:t xml:space="preserve">,</w:t>
      </w:r>
    </w:p>
    <w:p w:rsidR="00000000" w:rsidDel="00000000" w:rsidP="00000000" w:rsidRDefault="00000000" w:rsidRPr="00000000" w14:paraId="0000010A">
      <w:pPr>
        <w:numPr>
          <w:ilvl w:val="0"/>
          <w:numId w:val="11"/>
        </w:numPr>
        <w:ind w:left="720" w:hanging="480"/>
        <w:rPr/>
      </w:pPr>
      <w:r w:rsidDel="00000000" w:rsidR="00000000" w:rsidRPr="00000000">
        <w:rPr>
          <w:rtl w:val="0"/>
        </w:rPr>
        <w:t xml:space="preserve">Las VRLs están estandarizadas: </w:t>
      </w:r>
      <m:oMath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*</m:t>
            </m:r>
          </m:sup>
        </m:sSubSup>
        <m:r>
          <w:rPr>
            <w:rFonts w:ascii="Cambria Math" w:cs="Cambria Math" w:eastAsia="Cambria Math" w:hAnsi="Cambria Math"/>
          </w:rPr>
          <m:t>∼</m:t>
        </m:r>
        <m:r>
          <w:rPr>
            <w:rFonts w:ascii="Cambria Math" w:cs="Cambria Math" w:eastAsia="Cambria Math" w:hAnsi="Cambria Math"/>
          </w:rPr>
          <m:t xml:space="preserve">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0,1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 mismo que establecer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Δ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=1/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numPr>
          <w:ilvl w:val="0"/>
          <w:numId w:val="11"/>
        </w:numPr>
        <w:ind w:left="720" w:hanging="480"/>
        <w:rPr/>
      </w:pPr>
      <w:r w:rsidDel="00000000" w:rsidR="00000000" w:rsidRPr="00000000">
        <w:rPr>
          <w:rtl w:val="0"/>
        </w:rPr>
        <w:t xml:space="preserve">Los interceptos están fijados,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ν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</w:rPr>
          <m:t xml:space="preserve">=0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numPr>
          <w:ilvl w:val="0"/>
          <w:numId w:val="11"/>
        </w:numPr>
        <w:ind w:left="720" w:hanging="480"/>
        <w:rPr/>
      </w:pPr>
      <w:r w:rsidDel="00000000" w:rsidR="00000000" w:rsidRPr="00000000">
        <w:rPr>
          <w:rtl w:val="0"/>
        </w:rPr>
        <w:t xml:space="preserve">Las varianzas residuales están fijadas,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θ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</w:rPr>
          <m:t xml:space="preserve">=1-</m:t>
        </m:r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>λ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b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¡En algunos modelos de IM, se puede estimar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Δ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pero </w:t>
      </w:r>
      <m:oMath>
        <m:r>
          <m:t>θ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sigue fijo!</w:t>
      </w:r>
    </w:p>
    <w:bookmarkStart w:colFirst="0" w:colLast="0" w:name="bookmark=id.1mrcu09" w:id="49"/>
    <w:bookmarkEnd w:id="49"/>
    <w:p w:rsidR="00000000" w:rsidDel="00000000" w:rsidP="00000000" w:rsidRDefault="00000000" w:rsidRPr="00000000" w14:paraId="0000010F">
      <w:pPr>
        <w:pStyle w:val="Heading2"/>
        <w:rPr/>
      </w:pPr>
      <w:r w:rsidDel="00000000" w:rsidR="00000000" w:rsidRPr="00000000">
        <w:rPr>
          <w:rtl w:val="0"/>
        </w:rPr>
        <w:t xml:space="preserve">Parametrización Theta</w:t>
      </w:r>
    </w:p>
    <w:p w:rsidR="00000000" w:rsidDel="00000000" w:rsidP="00000000" w:rsidRDefault="00000000" w:rsidRPr="00000000" w14:paraId="00000110">
      <w:pPr>
        <w:numPr>
          <w:ilvl w:val="0"/>
          <w:numId w:val="14"/>
        </w:numPr>
        <w:ind w:left="720" w:hanging="480"/>
        <w:rPr/>
      </w:pPr>
      <w:r w:rsidDel="00000000" w:rsidR="00000000" w:rsidRPr="00000000">
        <w:rPr>
          <w:rtl w:val="0"/>
        </w:rPr>
        <w:t xml:space="preserve">En lugar de establecer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σ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</w:rPr>
          <m:t xml:space="preserve">=1</m:t>
        </m:r>
      </m:oMath>
      <w:r w:rsidDel="00000000" w:rsidR="00000000" w:rsidRPr="00000000">
        <w:rPr>
          <w:rtl w:val="0"/>
        </w:rPr>
        <w:t xml:space="preserve">, fijamos la varianza residua l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θ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</w:rPr>
          <m:t xml:space="preserve">=1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numPr>
          <w:ilvl w:val="0"/>
          <w:numId w:val="14"/>
        </w:numPr>
        <w:ind w:left="720" w:hanging="480"/>
        <w:rPr/>
      </w:pPr>
      <w:r w:rsidDel="00000000" w:rsidR="00000000" w:rsidRPr="00000000">
        <w:rPr>
          <w:rtl w:val="0"/>
        </w:rPr>
        <w:t xml:space="preserve">Implica que la varianza de</w:t>
      </w:r>
      <m:oMath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*</m:t>
            </m:r>
          </m:sup>
        </m:sSubSup>
      </m:oMath>
      <w:r w:rsidDel="00000000" w:rsidR="00000000" w:rsidRPr="00000000">
        <w:rPr>
          <w:rtl w:val="0"/>
        </w:rPr>
        <w:t xml:space="preserve"> está fijada a  </w:t>
      </w:r>
      <m:oMath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m:t>σ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bSup>
        <m:r>
          <w:rPr>
            <w:rFonts w:ascii="Cambria Math" w:cs="Cambria Math" w:eastAsia="Cambria Math" w:hAnsi="Cambria Math"/>
          </w:rPr>
          <m:t xml:space="preserve">=</m:t>
        </m:r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>λ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bSup>
        <m:r>
          <w:rPr>
            <w:rFonts w:ascii="Cambria Math" w:cs="Cambria Math" w:eastAsia="Cambria Math" w:hAnsi="Cambria Math"/>
          </w:rPr>
          <m:t xml:space="preserve">+1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numPr>
          <w:ilvl w:val="0"/>
          <w:numId w:val="14"/>
        </w:numPr>
        <w:ind w:left="720" w:hanging="480"/>
        <w:rPr/>
      </w:pPr>
      <w:r w:rsidDel="00000000" w:rsidR="00000000" w:rsidRPr="00000000">
        <w:rPr>
          <w:rtl w:val="0"/>
        </w:rPr>
        <w:t xml:space="preserve">Entonces el parámetro Delta está fijado a</w:t>
      </w:r>
    </w:p>
    <w:p w:rsidR="00000000" w:rsidDel="00000000" w:rsidP="00000000" w:rsidRDefault="00000000" w:rsidRPr="00000000" w14:paraId="00000113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Δ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=1/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=1/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λ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sup>
            </m:s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+1</m:t>
            </m:r>
          </m:e>
        </m:ra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interpretación del modelo es más complicada ya que </w:t>
      </w: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SupPr>
          <m:e>
            <m:r>
              <m:t>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≠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 notas de codificación para ejemplos</w:t>
      </w:r>
    </w:p>
    <w:bookmarkStart w:colFirst="0" w:colLast="0" w:name="bookmark=id.46r0co2" w:id="50"/>
    <w:bookmarkEnd w:id="50"/>
    <w:p w:rsidR="00000000" w:rsidDel="00000000" w:rsidP="00000000" w:rsidRDefault="00000000" w:rsidRPr="00000000" w14:paraId="00000116">
      <w:pPr>
        <w:pStyle w:val="Heading2"/>
        <w:rPr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117">
      <w:pPr>
        <w:numPr>
          <w:ilvl w:val="0"/>
          <w:numId w:val="16"/>
        </w:numPr>
        <w:ind w:left="720" w:hanging="480"/>
        <w:rPr/>
      </w:pPr>
      <w:r w:rsidDel="00000000" w:rsidR="00000000" w:rsidRPr="00000000">
        <w:rPr>
          <w:rtl w:val="0"/>
        </w:rPr>
        <w:t xml:space="preserve">El modelo factorial para datos categóricos utiliza VRLs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Paso 1. Representar datos categóricos usando VRL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Paso 2. Analizar factorialmente las VRLs</w:t>
      </w:r>
    </w:p>
    <w:p w:rsidR="00000000" w:rsidDel="00000000" w:rsidP="00000000" w:rsidRDefault="00000000" w:rsidRPr="00000000" w14:paraId="0000011A">
      <w:pPr>
        <w:numPr>
          <w:ilvl w:val="0"/>
          <w:numId w:val="16"/>
        </w:numPr>
        <w:ind w:left="720" w:hanging="480"/>
        <w:rPr/>
      </w:pPr>
      <w:r w:rsidDel="00000000" w:rsidR="00000000" w:rsidRPr="00000000">
        <w:rPr>
          <w:rtl w:val="0"/>
        </w:rPr>
        <w:t xml:space="preserve">¡Truco conveniente! Pero introduce muchos parámetros que no podemos estimar</w:t>
      </w:r>
    </w:p>
    <w:p w:rsidR="00000000" w:rsidDel="00000000" w:rsidP="00000000" w:rsidRDefault="00000000" w:rsidRPr="00000000" w14:paraId="0000011B">
      <w:pPr>
        <w:numPr>
          <w:ilvl w:val="0"/>
          <w:numId w:val="16"/>
        </w:numPr>
        <w:ind w:left="720" w:hanging="480"/>
        <w:rPr/>
      </w:pPr>
      <w:r w:rsidDel="00000000" w:rsidR="00000000" w:rsidRPr="00000000">
        <w:rPr>
          <w:rtl w:val="0"/>
        </w:rPr>
        <w:t xml:space="preserve">Los únicos parámetros que podemos estimar son las cargas factoriales y los umbrales</w:t>
      </w:r>
    </w:p>
    <w:p w:rsidR="00000000" w:rsidDel="00000000" w:rsidP="00000000" w:rsidRDefault="00000000" w:rsidRPr="00000000" w14:paraId="0000011C">
      <w:pPr>
        <w:numPr>
          <w:ilvl w:val="0"/>
          <w:numId w:val="16"/>
        </w:numPr>
        <w:ind w:left="720" w:hanging="480"/>
        <w:rPr/>
      </w:pPr>
      <w:r w:rsidDel="00000000" w:rsidR="00000000" w:rsidRPr="00000000">
        <w:rPr>
          <w:rtl w:val="0"/>
        </w:rPr>
        <w:t xml:space="preserve">¡En Delta, estos son fáciles de interpretar!</w:t>
      </w:r>
    </w:p>
    <w:p w:rsidR="00000000" w:rsidDel="00000000" w:rsidP="00000000" w:rsidRDefault="00000000" w:rsidRPr="00000000" w14:paraId="0000011D">
      <w:pPr>
        <w:numPr>
          <w:ilvl w:val="0"/>
          <w:numId w:val="16"/>
        </w:numPr>
        <w:ind w:left="720" w:hanging="480"/>
        <w:rPr/>
      </w:pPr>
      <w:r w:rsidDel="00000000" w:rsidR="00000000" w:rsidRPr="00000000">
        <w:rPr>
          <w:rtl w:val="0"/>
        </w:rPr>
        <w:t xml:space="preserve">(En Theta, no son fáciles de interpretar)</w:t>
      </w:r>
    </w:p>
    <w:bookmarkStart w:colFirst="0" w:colLast="0" w:name="bookmark=id.2lwamvv" w:id="51"/>
    <w:bookmarkEnd w:id="51"/>
    <w:p w:rsidR="00000000" w:rsidDel="00000000" w:rsidP="00000000" w:rsidRDefault="00000000" w:rsidRPr="00000000" w14:paraId="0000011E">
      <w:pPr>
        <w:pStyle w:val="Heading1"/>
        <w:rPr/>
      </w:pPr>
      <w:r w:rsidDel="00000000" w:rsidR="00000000" w:rsidRPr="00000000">
        <w:rPr>
          <w:rtl w:val="0"/>
        </w:rPr>
        <w:t xml:space="preserve">Invarianza de Medida</w:t>
      </w:r>
    </w:p>
    <w:tbl>
      <w:tblPr>
        <w:tblStyle w:val="Table6"/>
        <w:tblW w:w="9576.0" w:type="dxa"/>
        <w:jc w:val="left"/>
        <w:tblInd w:w="-108.0" w:type="dxa"/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F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2005584"/>
                  <wp:effectExtent b="0" l="0" r="0" t="0"/>
                  <wp:docPr id="15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20055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0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bookmark=id.111kx3o" w:id="52"/>
    <w:bookmarkEnd w:id="52"/>
    <w:p w:rsidR="00000000" w:rsidDel="00000000" w:rsidP="00000000" w:rsidRDefault="00000000" w:rsidRPr="00000000" w14:paraId="00000121">
      <w:pPr>
        <w:pStyle w:val="Heading2"/>
        <w:rPr/>
      </w:pPr>
      <w:r w:rsidDel="00000000" w:rsidR="00000000" w:rsidRPr="00000000">
        <w:rPr>
          <w:rtl w:val="0"/>
        </w:rPr>
        <w:t xml:space="preserve">Recapitulación de IM</w:t>
      </w:r>
    </w:p>
    <w:p w:rsidR="00000000" w:rsidDel="00000000" w:rsidP="00000000" w:rsidRDefault="00000000" w:rsidRPr="00000000" w14:paraId="00000122">
      <w:pPr>
        <w:numPr>
          <w:ilvl w:val="0"/>
          <w:numId w:val="32"/>
        </w:numPr>
        <w:ind w:left="720" w:hanging="480"/>
        <w:rPr/>
      </w:pPr>
      <w:r w:rsidDel="00000000" w:rsidR="00000000" w:rsidRPr="00000000">
        <w:rPr>
          <w:i w:val="1"/>
          <w:rtl w:val="0"/>
        </w:rPr>
        <w:t xml:space="preserve">Queremos que nuestro modelo de medición sea el mismo a través de los grupos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numPr>
          <w:ilvl w:val="0"/>
          <w:numId w:val="32"/>
        </w:numPr>
        <w:ind w:left="720" w:hanging="480"/>
        <w:rPr/>
      </w:pPr>
      <w:r w:rsidDel="00000000" w:rsidR="00000000" w:rsidRPr="00000000">
        <w:rPr>
          <w:rtl w:val="0"/>
        </w:rPr>
        <w:t xml:space="preserve">Esto asegurará que cualquier diferencia de grupo en los datos observados $\bf x$ se deba únicamente a diferencias en el constructo objetivo </w:t>
      </w:r>
      <m:oMath>
        <m:r>
          <m:t>η</m:t>
        </m:r>
      </m:oMath>
      <w:r w:rsidDel="00000000" w:rsidR="00000000" w:rsidRPr="00000000">
        <w:rPr>
          <w:rtl w:val="0"/>
        </w:rPr>
        <w:t xml:space="preserve"> (es decir, impacto)</w:t>
      </w:r>
    </w:p>
    <w:p w:rsidR="00000000" w:rsidDel="00000000" w:rsidP="00000000" w:rsidRDefault="00000000" w:rsidRPr="00000000" w14:paraId="00000124">
      <w:pPr>
        <w:numPr>
          <w:ilvl w:val="0"/>
          <w:numId w:val="32"/>
        </w:numPr>
        <w:ind w:left="720" w:hanging="480"/>
        <w:rPr/>
      </w:pPr>
      <w:r w:rsidDel="00000000" w:rsidR="00000000" w:rsidRPr="00000000">
        <w:rPr>
          <w:rtl w:val="0"/>
        </w:rPr>
        <w:t xml:space="preserve">Importante para asegurar comparaciones imparciales entre grupos</w:t>
      </w:r>
    </w:p>
    <w:bookmarkStart w:colFirst="0" w:colLast="0" w:name="bookmark=id.3l18frh" w:id="53"/>
    <w:bookmarkEnd w:id="53"/>
    <w:p w:rsidR="00000000" w:rsidDel="00000000" w:rsidP="00000000" w:rsidRDefault="00000000" w:rsidRPr="00000000" w14:paraId="00000125">
      <w:pPr>
        <w:pStyle w:val="Heading2"/>
        <w:rPr/>
      </w:pPr>
      <w:r w:rsidDel="00000000" w:rsidR="00000000" w:rsidRPr="00000000">
        <w:rPr>
          <w:rtl w:val="0"/>
        </w:rPr>
        <w:t xml:space="preserve">Parámetros del modelo de medición</w:t>
      </w:r>
    </w:p>
    <w:p w:rsidR="00000000" w:rsidDel="00000000" w:rsidP="00000000" w:rsidRDefault="00000000" w:rsidRPr="00000000" w14:paraId="00000126">
      <w:pPr>
        <w:numPr>
          <w:ilvl w:val="0"/>
          <w:numId w:val="33"/>
        </w:numPr>
        <w:ind w:left="720" w:hanging="480"/>
        <w:rPr/>
      </w:pPr>
      <w:r w:rsidDel="00000000" w:rsidR="00000000" w:rsidRPr="00000000">
        <w:rPr>
          <w:rtl w:val="0"/>
        </w:rPr>
        <w:t xml:space="preserve">Para grupos </w:t>
      </w:r>
      <m:oMath>
        <m:r>
          <w:rPr>
            <w:rFonts w:ascii="Cambria Math" w:cs="Cambria Math" w:eastAsia="Cambria Math" w:hAnsi="Cambria Math"/>
          </w:rPr>
          <m:t xml:space="preserve">g=1,2,...,G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numPr>
          <w:ilvl w:val="0"/>
          <w:numId w:val="33"/>
        </w:numPr>
        <w:ind w:left="720" w:hanging="480"/>
        <w:rPr/>
      </w:pPr>
      <w:r w:rsidDel="00000000" w:rsidR="00000000" w:rsidRPr="00000000">
        <w:rPr>
          <w:rtl w:val="0"/>
        </w:rPr>
        <w:t xml:space="preserve">Los pesos factoriales,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λ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jg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numPr>
          <w:ilvl w:val="0"/>
          <w:numId w:val="33"/>
        </w:numPr>
        <w:ind w:left="720" w:hanging="480"/>
        <w:rPr/>
      </w:pPr>
      <w:r w:rsidDel="00000000" w:rsidR="00000000" w:rsidRPr="00000000">
        <w:rPr>
          <w:rtl w:val="0"/>
        </w:rPr>
        <w:t xml:space="preserve">Los umbrales de los ítems,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τ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jg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d>
          <m:dPr>
            <m:begChr m:val="["/>
            <m:endChr m:val="]"/>
            <m:ctrlPr>
              <w:rPr>
                <w:rFonts w:ascii="Cambria Math" w:cs="Cambria Math" w:eastAsia="Cambria Math" w:hAnsi="Cambria Math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>τ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j1g</m:t>
                </m:r>
              </m:sub>
            </m:sSub>
            <m:r>
              <w:rPr>
                <w:rFonts w:ascii="Cambria Math" w:cs="Cambria Math" w:eastAsia="Cambria Math" w:hAnsi="Cambria Math"/>
              </w:rPr>
              <m:t xml:space="preserve">,</m:t>
            </m:r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>τ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j2g</m:t>
                </m:r>
              </m:sub>
            </m:sSub>
            <m:r>
              <w:rPr>
                <w:rFonts w:ascii="Cambria Math" w:cs="Cambria Math" w:eastAsia="Cambria Math" w:hAnsi="Cambria Math"/>
              </w:rPr>
              <m:t xml:space="preserve">,…,</m:t>
            </m:r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>τ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jCg</m:t>
                </m:r>
              </m:sub>
            </m:sSub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Queremos probar si estos son iguales a través de los grupos:</w:t>
      </w:r>
    </w:p>
    <w:p w:rsidR="00000000" w:rsidDel="00000000" w:rsidP="00000000" w:rsidRDefault="00000000" w:rsidRPr="00000000" w14:paraId="0000012A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λ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j1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λ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j1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=…=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λ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jG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τ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jc1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τ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jc2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=…=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τ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jcG</m:t>
            </m:r>
          </m:sub>
        </m:sSub>
      </m:oMath>
      <w:r w:rsidDel="00000000" w:rsidR="00000000" w:rsidRPr="00000000">
        <w:rPr>
          <w:rtl w:val="0"/>
        </w:rPr>
      </w:r>
    </w:p>
    <w:bookmarkStart w:colFirst="0" w:colLast="0" w:name="bookmark=id.206ipza" w:id="54"/>
    <w:bookmarkEnd w:id="54"/>
    <w:p w:rsidR="00000000" w:rsidDel="00000000" w:rsidP="00000000" w:rsidRDefault="00000000" w:rsidRPr="00000000" w14:paraId="0000012C">
      <w:pPr>
        <w:pStyle w:val="Heading2"/>
        <w:rPr/>
      </w:pPr>
      <w:r w:rsidDel="00000000" w:rsidR="00000000" w:rsidRPr="00000000">
        <w:rPr>
          <w:rtl w:val="0"/>
        </w:rPr>
        <w:t xml:space="preserve">Parámetros del modelo de población</w:t>
      </w:r>
    </w:p>
    <w:p w:rsidR="00000000" w:rsidDel="00000000" w:rsidP="00000000" w:rsidRDefault="00000000" w:rsidRPr="00000000" w14:paraId="0000012D">
      <w:pPr>
        <w:numPr>
          <w:ilvl w:val="0"/>
          <w:numId w:val="35"/>
        </w:numPr>
        <w:ind w:left="720" w:hanging="480"/>
        <w:rPr/>
      </w:pPr>
      <w:r w:rsidDel="00000000" w:rsidR="00000000" w:rsidRPr="00000000">
        <w:rPr>
          <w:rtl w:val="0"/>
        </w:rPr>
        <w:t xml:space="preserve">En un solo grupo, tuvimos que estandarizar </w:t>
      </w:r>
      <m:oMath>
        <m:r>
          <m:t>η</m:t>
        </m:r>
        <m:r>
          <m:t>∼</m:t>
        </m:r>
        <m:r>
          <w:rPr>
            <w:rFonts w:ascii="Cambria Math" w:cs="Cambria Math" w:eastAsia="Cambria Math" w:hAnsi="Cambria Math"/>
          </w:rPr>
          <m:t xml:space="preserve">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0,1</m:t>
            </m:r>
          </m:e>
        </m:d>
      </m:oMath>
      <w:r w:rsidDel="00000000" w:rsidR="00000000" w:rsidRPr="00000000">
        <w:rPr>
          <w:rtl w:val="0"/>
        </w:rPr>
        <w:t xml:space="preserve"> para estimar el modelo</w:t>
      </w:r>
    </w:p>
    <w:p w:rsidR="00000000" w:rsidDel="00000000" w:rsidP="00000000" w:rsidRDefault="00000000" w:rsidRPr="00000000" w14:paraId="0000012E">
      <w:pPr>
        <w:numPr>
          <w:ilvl w:val="0"/>
          <w:numId w:val="35"/>
        </w:numPr>
        <w:ind w:left="720" w:hanging="480"/>
        <w:rPr/>
      </w:pPr>
      <w:r w:rsidDel="00000000" w:rsidR="00000000" w:rsidRPr="00000000">
        <w:rPr>
          <w:rtl w:val="0"/>
        </w:rPr>
        <w:t xml:space="preserve">En múltiples grupos, este enfoque es problemático</w:t>
      </w:r>
    </w:p>
    <w:p w:rsidR="00000000" w:rsidDel="00000000" w:rsidP="00000000" w:rsidRDefault="00000000" w:rsidRPr="00000000" w14:paraId="0000012F">
      <w:pPr>
        <w:numPr>
          <w:ilvl w:val="0"/>
          <w:numId w:val="35"/>
        </w:numPr>
        <w:ind w:left="720" w:hanging="480"/>
        <w:rPr/>
      </w:pPr>
      <w:r w:rsidDel="00000000" w:rsidR="00000000" w:rsidRPr="00000000">
        <w:rPr>
          <w:rtl w:val="0"/>
        </w:rPr>
        <w:t xml:space="preserve">p.ej., si establecemos la media del factor en 0 en cada grupo:</w:t>
      </w:r>
    </w:p>
    <w:p w:rsidR="00000000" w:rsidDel="00000000" w:rsidP="00000000" w:rsidRDefault="00000000" w:rsidRPr="00000000" w14:paraId="00000130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κ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κ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=…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κ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G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¡Estamos afirmando que todos los grupos tienen la misma media en el rasgo latente – esto no es una restricción “arbitraria” en el modelo!</w:t>
      </w:r>
    </w:p>
    <w:bookmarkStart w:colFirst="0" w:colLast="0" w:name="bookmark=id.4k668n3" w:id="55"/>
    <w:bookmarkEnd w:id="55"/>
    <w:p w:rsidR="00000000" w:rsidDel="00000000" w:rsidP="00000000" w:rsidRDefault="00000000" w:rsidRPr="00000000" w14:paraId="00000132">
      <w:pPr>
        <w:pStyle w:val="Heading2"/>
        <w:rPr/>
      </w:pPr>
      <w:r w:rsidDel="00000000" w:rsidR="00000000" w:rsidRPr="00000000">
        <w:rPr>
          <w:rtl w:val="0"/>
        </w:rPr>
        <w:t xml:space="preserve">Parámetros del modelo de población</w:t>
      </w:r>
    </w:p>
    <w:p w:rsidR="00000000" w:rsidDel="00000000" w:rsidP="00000000" w:rsidRDefault="00000000" w:rsidRPr="00000000" w14:paraId="00000133">
      <w:pPr>
        <w:numPr>
          <w:ilvl w:val="0"/>
          <w:numId w:val="22"/>
        </w:numPr>
        <w:ind w:left="720" w:hanging="480"/>
        <w:rPr/>
      </w:pPr>
      <w:r w:rsidDel="00000000" w:rsidR="00000000" w:rsidRPr="00000000">
        <w:rPr>
          <w:rtl w:val="0"/>
        </w:rPr>
        <w:t xml:space="preserve">La IM nos permite estimar los parámetros del modelo de población (ver Muthen &amp; Asparouhov 2002, Millsap &amp; Yun-Tein 2004)</w:t>
      </w:r>
    </w:p>
    <w:p w:rsidR="00000000" w:rsidDel="00000000" w:rsidP="00000000" w:rsidRDefault="00000000" w:rsidRPr="00000000" w14:paraId="00000134">
      <w:pPr>
        <w:numPr>
          <w:ilvl w:val="0"/>
          <w:numId w:val="22"/>
        </w:numPr>
        <w:ind w:left="720" w:hanging="480"/>
        <w:rPr/>
      </w:pPr>
      <w:r w:rsidDel="00000000" w:rsidR="00000000" w:rsidRPr="00000000">
        <w:rPr>
          <w:rtl w:val="0"/>
        </w:rPr>
        <w:t xml:space="preserve">De hecho, el objetivo de la IM puede interpretarse en términos de poner suficientes restricciones en el modelo para estimar el impacto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Más sobre esto pronto cuando hablemos de "niveles" de IM</w:t>
      </w:r>
    </w:p>
    <w:p w:rsidR="00000000" w:rsidDel="00000000" w:rsidP="00000000" w:rsidRDefault="00000000" w:rsidRPr="00000000" w14:paraId="00000136">
      <w:pPr>
        <w:numPr>
          <w:ilvl w:val="0"/>
          <w:numId w:val="22"/>
        </w:numPr>
        <w:ind w:left="720" w:hanging="480"/>
        <w:rPr/>
      </w:pPr>
      <w:r w:rsidDel="00000000" w:rsidR="00000000" w:rsidRPr="00000000">
        <w:rPr>
          <w:rtl w:val="0"/>
        </w:rPr>
        <w:t xml:space="preserve">Incluso con IM, todavía necesitamos estandarizar </w:t>
      </w:r>
      <m:oMath>
        <m:r>
          <m:t>η</m:t>
        </m:r>
        <m:r>
          <m:t>∼</m:t>
        </m:r>
        <m:r>
          <w:rPr>
            <w:rFonts w:ascii="Cambria Math" w:cs="Cambria Math" w:eastAsia="Cambria Math" w:hAnsi="Cambria Math"/>
          </w:rPr>
          <m:t xml:space="preserve">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0,1</m:t>
            </m:r>
          </m:e>
        </m:d>
      </m:oMath>
      <w:r w:rsidDel="00000000" w:rsidR="00000000" w:rsidRPr="00000000">
        <w:rPr>
          <w:rtl w:val="0"/>
        </w:rPr>
        <w:t xml:space="preserve"> en un grupo, llamado grupo de referencia</w:t>
      </w:r>
    </w:p>
    <w:bookmarkStart w:colFirst="0" w:colLast="0" w:name="bookmark=id.2zbgiuw" w:id="56"/>
    <w:bookmarkEnd w:id="56"/>
    <w:p w:rsidR="00000000" w:rsidDel="00000000" w:rsidP="00000000" w:rsidRDefault="00000000" w:rsidRPr="00000000" w14:paraId="00000137">
      <w:pPr>
        <w:pStyle w:val="Heading2"/>
        <w:rPr/>
      </w:pPr>
      <w:r w:rsidDel="00000000" w:rsidR="00000000" w:rsidRPr="00000000">
        <w:rPr>
          <w:rtl w:val="0"/>
        </w:rPr>
        <w:t xml:space="preserve">Parámetros molestos/de estorbo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¿Qué pasa con los parámetros de las VRL?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*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∼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μ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</m:t>
            </m:r>
            <m:sSubSup>
              <m:sSub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σ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sup>
            </m:sSubSup>
          </m:e>
        </m:d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interceptos,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ν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Las varianzas residuales,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θ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Estos son técnicamente parte del modelo de medición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IM podemos estimar ya sea </w:t>
      </w: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SupPr>
          <m:e>
            <m:r>
              <m:t>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bSup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(Delta) o la varianza residual (Theta)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numPr>
          <w:ilvl w:val="1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mayoría de softwares harán esto por defecto…</w:t>
      </w:r>
    </w:p>
    <w:bookmarkStart w:colFirst="0" w:colLast="0" w:name="bookmark=id.1egqt2p" w:id="57"/>
    <w:bookmarkEnd w:id="57"/>
    <w:p w:rsidR="00000000" w:rsidDel="00000000" w:rsidP="00000000" w:rsidRDefault="00000000" w:rsidRPr="00000000" w14:paraId="0000013F">
      <w:pPr>
        <w:pStyle w:val="Heading2"/>
        <w:rPr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parámetros de medición: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numPr>
          <w:ilvl w:val="1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pesos factoriales,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λ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jg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1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umbrales de los ítems,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τ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jg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d>
          <m:dPr>
            <m:begChr m:val="["/>
            <m:endChr m:val="]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τ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j2g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τ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j2g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,…,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τ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jCg</m:t>
                </m:r>
              </m:sub>
            </m:sSub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parámetros de población: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numPr>
          <w:ilvl w:val="1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m:t>η</m:t>
        </m:r>
        <m:r>
          <m:t>∼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κ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g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ϕ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g</m:t>
                </m:r>
              </m:sub>
            </m:sSub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parámetros molestos/ de estorbo (VRL):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numPr>
          <w:ilvl w:val="1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*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∼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μ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,</m:t>
            </m:r>
            <m:sSubSup>
              <m:sSub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σ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sup>
            </m:sSubSup>
          </m:e>
        </m:d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interceptos: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ν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varianzas residuales: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θ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tl w:val="0"/>
        </w:rPr>
      </w:r>
    </w:p>
    <w:bookmarkStart w:colFirst="0" w:colLast="0" w:name="bookmark=id.3ygebqi" w:id="58"/>
    <w:bookmarkEnd w:id="58"/>
    <w:p w:rsidR="00000000" w:rsidDel="00000000" w:rsidP="00000000" w:rsidRDefault="00000000" w:rsidRPr="00000000" w14:paraId="00000147">
      <w:pPr>
        <w:pStyle w:val="Heading1"/>
        <w:rPr/>
      </w:pPr>
      <w:r w:rsidDel="00000000" w:rsidR="00000000" w:rsidRPr="00000000">
        <w:rPr>
          <w:rtl w:val="0"/>
        </w:rPr>
        <w:t xml:space="preserve">Niveles de Invarianza de Medida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configuracional, débil, métrica, escalar, fuerte, estricta, …</w:t>
      </w:r>
    </w:p>
    <w:bookmarkStart w:colFirst="0" w:colLast="0" w:name="bookmark=id.2dlolyb" w:id="59"/>
    <w:bookmarkEnd w:id="59"/>
    <w:p w:rsidR="00000000" w:rsidDel="00000000" w:rsidP="00000000" w:rsidRDefault="00000000" w:rsidRPr="00000000" w14:paraId="00000149">
      <w:pPr>
        <w:pStyle w:val="Heading2"/>
        <w:rPr/>
      </w:pPr>
      <w:r w:rsidDel="00000000" w:rsidR="00000000" w:rsidRPr="00000000">
        <w:rPr>
          <w:rtl w:val="0"/>
        </w:rPr>
        <w:t xml:space="preserve">Hay muchas versiones…</w:t>
      </w:r>
    </w:p>
    <w:tbl>
      <w:tblPr>
        <w:tblStyle w:val="Table7"/>
        <w:tblW w:w="9576.0" w:type="dxa"/>
        <w:jc w:val="left"/>
        <w:tblInd w:w="-108.0" w:type="dxa"/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A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3307462"/>
                  <wp:effectExtent b="0" l="0" r="0" t="0"/>
                  <wp:docPr id="15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3074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0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Tabla: Thissen, 2023</w:t>
            </w:r>
          </w:p>
        </w:tc>
      </w:tr>
    </w:tbl>
    <w:bookmarkStart w:colFirst="0" w:colLast="0" w:name="bookmark=id.sqyw64" w:id="60"/>
    <w:bookmarkEnd w:id="60"/>
    <w:p w:rsidR="00000000" w:rsidDel="00000000" w:rsidP="00000000" w:rsidRDefault="00000000" w:rsidRPr="00000000" w14:paraId="0000014C">
      <w:pPr>
        <w:pStyle w:val="Heading2"/>
        <w:rPr/>
      </w:pPr>
      <w:r w:rsidDel="00000000" w:rsidR="00000000" w:rsidRPr="00000000">
        <w:rPr>
          <w:rtl w:val="0"/>
        </w:rPr>
        <w:t xml:space="preserve">Resumen de niveles: Invarianza Configuracional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medición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Mismo patrón factorial sobre grupos (qué ítems van con qué factores)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población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No es suficiente para estimar el impacto en ningún parámetro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Generalmente no se interpreta, pero es la base para probar otros modelos</w:t>
      </w:r>
    </w:p>
    <w:bookmarkStart w:colFirst="0" w:colLast="0" w:name="bookmark=id.3cqmetx" w:id="61"/>
    <w:bookmarkEnd w:id="61"/>
    <w:p w:rsidR="00000000" w:rsidDel="00000000" w:rsidP="00000000" w:rsidRDefault="00000000" w:rsidRPr="00000000" w14:paraId="00000150">
      <w:pPr>
        <w:pStyle w:val="Heading2"/>
        <w:rPr/>
      </w:pPr>
      <w:r w:rsidDel="00000000" w:rsidR="00000000" w:rsidRPr="00000000">
        <w:rPr>
          <w:rtl w:val="0"/>
        </w:rPr>
        <w:t xml:space="preserve">Resumen de niveles: Invarianza Débil / Métrica 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medición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Todos los pesos factoriales son iguales sobre los grupos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población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Suficiente para estimar el impacto en las (co-) varianzas del factor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Puede servir como base para el modelado de ecuaciones estructurales multigrupo (sin estructura media)</w:t>
      </w:r>
    </w:p>
    <w:bookmarkStart w:colFirst="0" w:colLast="0" w:name="bookmark=id.1rvwp1q" w:id="62"/>
    <w:bookmarkEnd w:id="62"/>
    <w:p w:rsidR="00000000" w:rsidDel="00000000" w:rsidP="00000000" w:rsidRDefault="00000000" w:rsidRPr="00000000" w14:paraId="00000154">
      <w:pPr>
        <w:pStyle w:val="Heading2"/>
        <w:rPr/>
      </w:pPr>
      <w:r w:rsidDel="00000000" w:rsidR="00000000" w:rsidRPr="00000000">
        <w:rPr>
          <w:rtl w:val="0"/>
        </w:rPr>
        <w:t xml:space="preserve">Resumen de niveles: Invarianza Fuerte / Escalar 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medición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Todos los pesos factoriales y umbrales son iguales a través de los grupos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población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Suficiente para estimar el impacto en las (co-) varianzas y medias del factor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Considerado aceptable para comparar grupos en puntuaciones de pruebas observadas</w:t>
      </w:r>
    </w:p>
    <w:bookmarkStart w:colFirst="0" w:colLast="0" w:name="bookmark=id.4bvk7pj" w:id="63"/>
    <w:bookmarkEnd w:id="63"/>
    <w:p w:rsidR="00000000" w:rsidDel="00000000" w:rsidP="00000000" w:rsidRDefault="00000000" w:rsidRPr="00000000" w14:paraId="00000158">
      <w:pPr>
        <w:pStyle w:val="Heading2"/>
        <w:rPr/>
      </w:pPr>
      <w:r w:rsidDel="00000000" w:rsidR="00000000" w:rsidRPr="00000000">
        <w:rPr>
          <w:rtl w:val="0"/>
        </w:rPr>
        <w:t xml:space="preserve">Resumen de niveles: Invarianza Estricta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numPr>
          <w:ilvl w:val="0"/>
          <w:numId w:val="1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medición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Todos los pesos factoriales, umbrales y varianzas residuales son iguales a través de los grupos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numPr>
          <w:ilvl w:val="0"/>
          <w:numId w:val="1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población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Suficiente para estimar el impacto en las (co-) varianzas y medias del factor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numPr>
          <w:ilvl w:val="0"/>
          <w:numId w:val="1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Asegura que las puntuaciones de las pruebas son igualmente confiables en ambos grupos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Nota: algunos problemas al distinguir la invarianza fuerte y estricta con datos categóricos (lo veremos pronto)</w:t>
      </w:r>
    </w:p>
    <w:bookmarkStart w:colFirst="0" w:colLast="0" w:name="bookmark=id.2r0uhxc" w:id="64"/>
    <w:bookmarkEnd w:id="64"/>
    <w:p w:rsidR="00000000" w:rsidDel="00000000" w:rsidP="00000000" w:rsidRDefault="00000000" w:rsidRPr="00000000" w14:paraId="0000015D">
      <w:pPr>
        <w:pStyle w:val="Heading2"/>
        <w:rPr/>
      </w:pPr>
      <w:r w:rsidDel="00000000" w:rsidR="00000000" w:rsidRPr="00000000">
        <w:rPr>
          <w:rtl w:val="0"/>
        </w:rPr>
        <w:t xml:space="preserve">El modelo configuracional: Recapitulación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medición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Mismo patrón factorial sobre los grupos (qué ítems van con qué factores)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población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No es suficiente para estimar el impacto en ningún parámetro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Generalmente no se interpreta, pero es la base para probar otros modelos</w:t>
      </w:r>
    </w:p>
    <w:bookmarkStart w:colFirst="0" w:colLast="0" w:name="bookmark=id.1664s55" w:id="65"/>
    <w:bookmarkEnd w:id="65"/>
    <w:p w:rsidR="00000000" w:rsidDel="00000000" w:rsidP="00000000" w:rsidRDefault="00000000" w:rsidRPr="00000000" w14:paraId="00000161">
      <w:pPr>
        <w:pStyle w:val="Heading2"/>
        <w:rPr/>
      </w:pPr>
      <w:r w:rsidDel="00000000" w:rsidR="00000000" w:rsidRPr="00000000">
        <w:rPr>
          <w:rtl w:val="0"/>
        </w:rPr>
        <w:t xml:space="preserve">Código del modelo configuracional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Model (same as above)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mod1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' depression =~ cint1 + cint2 + cint4 + cint11 +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      cint27 + cint28 + cint29 + cint30'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Fit model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fit.config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cfa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(mod1,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data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dat,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std.lv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T,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ordered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group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"cfemale"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&lt;--- new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Print model summary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summary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(fit.config)</w:t>
      </w:r>
      <w:r w:rsidDel="00000000" w:rsidR="00000000" w:rsidRPr="00000000">
        <w:rPr>
          <w:rtl w:val="0"/>
        </w:rPr>
      </w:r>
    </w:p>
    <w:bookmarkStart w:colFirst="0" w:colLast="0" w:name="bookmark=id.3q5sasy" w:id="66"/>
    <w:bookmarkEnd w:id="66"/>
    <w:p w:rsidR="00000000" w:rsidDel="00000000" w:rsidP="00000000" w:rsidRDefault="00000000" w:rsidRPr="00000000" w14:paraId="000001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4f81bd"/>
          <w:sz w:val="28"/>
          <w:szCs w:val="28"/>
          <w:rtl w:val="0"/>
        </w:rPr>
        <w:t xml:space="preserve">Salida del modelo configuracional</w:t>
      </w:r>
    </w:p>
    <w:tbl>
      <w:tblPr>
        <w:tblStyle w:val="Table8"/>
        <w:tblW w:w="9576.0" w:type="dxa"/>
        <w:jc w:val="left"/>
        <w:tblInd w:w="-108.0" w:type="dxa"/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D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3841087"/>
                  <wp:effectExtent b="0" l="0" r="0" t="0"/>
                  <wp:docPr id="15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8410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0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bookmark=id.25b2l0r" w:id="67"/>
    <w:bookmarkEnd w:id="67"/>
    <w:p w:rsidR="00000000" w:rsidDel="00000000" w:rsidP="00000000" w:rsidRDefault="00000000" w:rsidRPr="00000000" w14:paraId="0000016F">
      <w:pPr>
        <w:pStyle w:val="Heading2"/>
        <w:rPr/>
      </w:pPr>
      <w:r w:rsidDel="00000000" w:rsidR="00000000" w:rsidRPr="00000000">
        <w:rPr>
          <w:rtl w:val="0"/>
        </w:rPr>
        <w:t xml:space="preserve">Invarianza Débil / métrica: Recapitulación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numPr>
          <w:ilvl w:val="0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medición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Todos los pesos factoriales son iguales a través de los grupos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numPr>
          <w:ilvl w:val="0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población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Suficiente para estimar el impacto en las (co-) varianzas del factor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numPr>
          <w:ilvl w:val="0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modelo es más emocionante en configuraciones multidimensionales cuando estamos interesados en la matriz de covarianza de los factores, no solo en la varianza de un único factor</w:t>
      </w:r>
    </w:p>
    <w:bookmarkStart w:colFirst="0" w:colLast="0" w:name="bookmark=id.kgcv8k" w:id="68"/>
    <w:bookmarkEnd w:id="68"/>
    <w:p w:rsidR="00000000" w:rsidDel="00000000" w:rsidP="00000000" w:rsidRDefault="00000000" w:rsidRPr="00000000" w14:paraId="00000173">
      <w:pPr>
        <w:pStyle w:val="Heading2"/>
        <w:rPr/>
      </w:pPr>
      <w:r w:rsidDel="00000000" w:rsidR="00000000" w:rsidRPr="00000000">
        <w:rPr>
          <w:rtl w:val="0"/>
        </w:rPr>
        <w:t xml:space="preserve">Código de invarianza débil / métrica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Fit model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fit.weak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cfa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(mod1,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data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dat,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std.lv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T,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ordered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group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"cfemale"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group.equal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"loadings"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&lt;--- new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Print model summary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summary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(fit.weak)</w:t>
      </w:r>
      <w:r w:rsidDel="00000000" w:rsidR="00000000" w:rsidRPr="00000000">
        <w:rPr>
          <w:rtl w:val="0"/>
        </w:rPr>
      </w:r>
    </w:p>
    <w:bookmarkStart w:colFirst="0" w:colLast="0" w:name="bookmark=id.34g0dwd" w:id="69"/>
    <w:bookmarkEnd w:id="69"/>
    <w:p w:rsidR="00000000" w:rsidDel="00000000" w:rsidP="00000000" w:rsidRDefault="00000000" w:rsidRPr="00000000" w14:paraId="00000175">
      <w:pPr>
        <w:pStyle w:val="Heading2"/>
        <w:rPr/>
      </w:pPr>
      <w:r w:rsidDel="00000000" w:rsidR="00000000" w:rsidRPr="00000000">
        <w:rPr>
          <w:rtl w:val="0"/>
        </w:rPr>
        <w:t xml:space="preserve">Salida de invarianza débil / métrica</w:t>
      </w:r>
    </w:p>
    <w:tbl>
      <w:tblPr>
        <w:tblStyle w:val="Table9"/>
        <w:tblW w:w="9576.0" w:type="dxa"/>
        <w:jc w:val="left"/>
        <w:tblInd w:w="-108.0" w:type="dxa"/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6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3844370"/>
                  <wp:effectExtent b="0" l="0" r="0" t="0"/>
                  <wp:docPr id="16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8443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0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bookmark=id.1jlao46" w:id="70"/>
    <w:bookmarkEnd w:id="70"/>
    <w:p w:rsidR="00000000" w:rsidDel="00000000" w:rsidP="00000000" w:rsidRDefault="00000000" w:rsidRPr="00000000" w14:paraId="00000178">
      <w:pPr>
        <w:pStyle w:val="Heading2"/>
        <w:rPr/>
      </w:pPr>
      <w:r w:rsidDel="00000000" w:rsidR="00000000" w:rsidRPr="00000000">
        <w:rPr>
          <w:rtl w:val="0"/>
        </w:rPr>
        <w:t xml:space="preserve">Comparación de los modelos</w:t>
      </w:r>
    </w:p>
    <w:p w:rsidR="00000000" w:rsidDel="00000000" w:rsidP="00000000" w:rsidRDefault="00000000" w:rsidRPr="00000000" w14:paraId="00000179">
      <w:pPr>
        <w:numPr>
          <w:ilvl w:val="0"/>
          <w:numId w:val="91"/>
        </w:numPr>
        <w:ind w:left="720" w:hanging="480"/>
        <w:rPr/>
      </w:pPr>
      <w:r w:rsidDel="00000000" w:rsidR="00000000" w:rsidRPr="00000000">
        <w:rPr>
          <w:rtl w:val="0"/>
        </w:rPr>
        <w:t xml:space="preserve">Los modelos CFA anidados se pueden comparar usando sus estadísticas chi-cuadrado (por ejemplo, Satorra &amp; Bentler, 2001) </w:t>
      </w:r>
    </w:p>
    <w:p w:rsidR="00000000" w:rsidDel="00000000" w:rsidP="00000000" w:rsidRDefault="00000000" w:rsidRPr="00000000" w14:paraId="0000017A">
      <w:pPr>
        <w:numPr>
          <w:ilvl w:val="0"/>
          <w:numId w:val="91"/>
        </w:numPr>
        <w:ind w:left="720" w:hanging="480"/>
        <w:rPr/>
      </w:pPr>
      <w:r w:rsidDel="00000000" w:rsidR="00000000" w:rsidRPr="00000000">
        <w:rPr>
          <w:rtl w:val="0"/>
        </w:rPr>
        <w:t xml:space="preserve">Dos modelos están anidados si uno puede obtenerse del otro fijando algunos parámetros a valores fijos</w:t>
      </w:r>
    </w:p>
    <w:p w:rsidR="00000000" w:rsidDel="00000000" w:rsidP="00000000" w:rsidRDefault="00000000" w:rsidRPr="00000000" w14:paraId="0000017B">
      <w:pPr>
        <w:numPr>
          <w:ilvl w:val="0"/>
          <w:numId w:val="91"/>
        </w:numPr>
        <w:ind w:left="720" w:hanging="480"/>
        <w:rPr/>
      </w:pPr>
      <w:r w:rsidDel="00000000" w:rsidR="00000000" w:rsidRPr="00000000">
        <w:rPr>
          <w:rtl w:val="0"/>
        </w:rPr>
        <w:t xml:space="preserve">Deje que "A" denote el modelo más grande y "B" denote el modelo más pequeño</w:t>
      </w:r>
    </w:p>
    <w:p w:rsidR="00000000" w:rsidDel="00000000" w:rsidP="00000000" w:rsidRDefault="00000000" w:rsidRPr="00000000" w14:paraId="0000017C">
      <w:pPr>
        <w:numPr>
          <w:ilvl w:val="0"/>
          <w:numId w:val="91"/>
        </w:numPr>
        <w:ind w:left="720" w:hanging="480"/>
        <w:rPr/>
      </w:pPr>
      <w:r w:rsidDel="00000000" w:rsidR="00000000" w:rsidRPr="00000000">
        <w:rPr>
          <w:rtl w:val="0"/>
        </w:rPr>
        <w:t xml:space="preserve">Defina: </w:t>
      </w:r>
      <m:oMath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m:t>χ</m:t>
            </m:r>
          </m:e>
          <m:sub>
            <m:r>
              <w:rPr/>
              <m:t xml:space="preserve">DIFF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bSup>
        <m:r>
          <w:rPr>
            <w:rFonts w:ascii="Cambria Math" w:cs="Cambria Math" w:eastAsia="Cambria Math" w:hAnsi="Cambria Math"/>
          </w:rPr>
          <m:t xml:space="preserve">=</m:t>
        </m:r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>χ</m:t>
            </m:r>
          </m:e>
          <m:sub>
            <m:r>
              <w:rPr/>
              <m:t xml:space="preserve">B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bSup>
        <m:r>
          <w:rPr>
            <w:rFonts w:ascii="Cambria Math" w:cs="Cambria Math" w:eastAsia="Cambria Math" w:hAnsi="Cambria Math"/>
          </w:rPr>
          <m:t xml:space="preserve">-</m:t>
        </m:r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>χ</m:t>
            </m:r>
          </m:e>
          <m:sub>
            <m:r>
              <w:rPr/>
              <m:t xml:space="preserve">A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bSup>
        <m:r>
          <w:rPr>
            <w:rFonts w:ascii="Cambria Math" w:cs="Cambria Math" w:eastAsia="Cambria Math" w:hAnsi="Cambria Math"/>
          </w:rPr>
          <m:t xml:space="preserve"> </m:t>
        </m:r>
        <m:r>
          <w:rPr/>
          <m:t xml:space="preserve">y</m:t>
        </m:r>
        <m:r>
          <w:rPr>
            <w:rFonts w:ascii="Cambria Math" w:cs="Cambria Math" w:eastAsia="Cambria Math" w:hAnsi="Cambria Math"/>
          </w:rPr>
          <m:t xml:space="preserve"> d</m:t>
        </m:r>
        <m:sSub>
          <m:sSubPr>
            <m:ctrlPr>
              <w:rPr/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f</m:t>
            </m:r>
          </m:e>
          <m:sub>
            <m:r>
              <w:rPr/>
              <m:t xml:space="preserve">DIFF</m:t>
            </m:r>
          </m:sub>
        </m:sSub>
        <m:r>
          <w:rPr>
            <w:rFonts w:ascii="Cambria Math" w:cs="Cambria Math" w:eastAsia="Cambria Math" w:hAnsi="Cambria Math"/>
          </w:rPr>
          <m:t xml:space="preserve">=d</m:t>
        </m:r>
        <m:sSub>
          <m:sSubPr>
            <m:ctrlPr>
              <w:rPr/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f</m:t>
            </m:r>
          </m:e>
          <m:sub>
            <m:r>
              <w:rPr/>
              <m:t xml:space="preserve">B</m:t>
            </m:r>
          </m:sub>
        </m:sSub>
        <m:r>
          <w:rPr>
            <w:rFonts w:ascii="Cambria Math" w:cs="Cambria Math" w:eastAsia="Cambria Math" w:hAnsi="Cambria Math"/>
          </w:rPr>
          <m:t xml:space="preserve">-d</m:t>
        </m:r>
        <m:sSub>
          <m:sSubPr>
            <m:ctrlPr>
              <w:rPr/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f</m:t>
            </m:r>
          </m:e>
          <m:sub>
            <m:r>
              <w:rPr/>
              <m:t xml:space="preserve">A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numPr>
          <w:ilvl w:val="0"/>
          <w:numId w:val="91"/>
        </w:numPr>
        <w:ind w:left="720" w:hanging="480"/>
        <w:rPr/>
      </w:pPr>
      <w:r w:rsidDel="00000000" w:rsidR="00000000" w:rsidRPr="00000000">
        <w:rPr>
          <w:rtl w:val="0"/>
        </w:rPr>
        <w:t xml:space="preserve">Entonces </w:t>
      </w:r>
      <m:oMath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m:t>χ</m:t>
            </m:r>
          </m:e>
          <m:sub>
            <m:r>
              <w:rPr/>
              <m:t xml:space="preserve">DIFF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bSup>
      </m:oMath>
      <w:r w:rsidDel="00000000" w:rsidR="00000000" w:rsidRPr="00000000">
        <w:rPr>
          <w:rtl w:val="0"/>
        </w:rPr>
        <w:t xml:space="preserve"> tiene una distribución chi-cuadrado central con </w:t>
      </w:r>
      <m:oMath>
        <m:r>
          <w:rPr>
            <w:rFonts w:ascii="Cambria Math" w:cs="Cambria Math" w:eastAsia="Cambria Math" w:hAnsi="Cambria Math"/>
          </w:rPr>
          <m:t xml:space="preserve">d</m:t>
        </m:r>
        <m:sSub>
          <m:sSubPr>
            <m:ctrlPr>
              <w:rPr/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f</m:t>
            </m:r>
          </m:e>
          <m:sub>
            <m:r>
              <w:rPr/>
              <m:t xml:space="preserve">DIFF</m:t>
            </m:r>
          </m:sub>
        </m:sSub>
      </m:oMath>
      <w:r w:rsidDel="00000000" w:rsidR="00000000" w:rsidRPr="00000000">
        <w:rPr>
          <w:rtl w:val="0"/>
        </w:rPr>
        <w:t xml:space="preserve"> cuando el modelo restringido es verdadero</w:t>
      </w:r>
    </w:p>
    <w:bookmarkStart w:colFirst="0" w:colLast="0" w:name="bookmark=id.43ky6rz" w:id="71"/>
    <w:bookmarkEnd w:id="71"/>
    <w:p w:rsidR="00000000" w:rsidDel="00000000" w:rsidP="00000000" w:rsidRDefault="00000000" w:rsidRPr="00000000" w14:paraId="0000017E">
      <w:pPr>
        <w:pStyle w:val="Heading2"/>
        <w:rPr/>
      </w:pPr>
      <w:r w:rsidDel="00000000" w:rsidR="00000000" w:rsidRPr="00000000">
        <w:rPr>
          <w:rtl w:val="0"/>
        </w:rPr>
        <w:t xml:space="preserve">Código para comparar los modelos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lavTestLRT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(fit.config, fit.weak)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Scaled Chi-Squared Difference Test (method = "satorra.2000")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lavaan NOTE: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The "Chisq" column contains standard test statistics, not the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robust test that should be reported per model. A robust difference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test is a function of two standard (not robust) statistics.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Df AIC BIC  Chisq Chisq diff Df diff Pr(&gt;Chisq)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fit.config 40         37.534                              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fit.weak   47         57.126     12.091       7    0.09761 .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---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Signif. codes:  0 '***' 0.001 '**' 0.01 '*' 0.05 '.' 0.1 ' '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. .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rechazar la invarianza débil usando </w:t>
      </w:r>
      <m:oMath>
        <m:r>
          <m:t>α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=.05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 pesos factoriales restringidos, se estimó 1 varianza para el rasgo latente, así que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df=8-1=7</m:t>
        </m:r>
      </m:oMath>
      <w:r w:rsidDel="00000000" w:rsidR="00000000" w:rsidRPr="00000000">
        <w:rPr>
          <w:rtl w:val="0"/>
        </w:rPr>
      </w:r>
    </w:p>
    <w:bookmarkStart w:colFirst="0" w:colLast="0" w:name="bookmark=id.2iq8gzs" w:id="72"/>
    <w:bookmarkEnd w:id="72"/>
    <w:p w:rsidR="00000000" w:rsidDel="00000000" w:rsidP="00000000" w:rsidRDefault="00000000" w:rsidRPr="00000000" w14:paraId="00000184">
      <w:pPr>
        <w:pStyle w:val="Heading2"/>
        <w:rPr/>
      </w:pPr>
      <w:r w:rsidDel="00000000" w:rsidR="00000000" w:rsidRPr="00000000">
        <w:rPr>
          <w:rtl w:val="0"/>
        </w:rPr>
        <w:t xml:space="preserve">Resumen del ejemplo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invarianza débil con respecto al género fue satisfecha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numPr>
          <w:ilvl w:val="1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pueden comparar la varianza del rasgo latente entre grupos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el ejemplo, la depresión fue ligeramente más variable para las mujeres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numPr>
          <w:ilvl w:val="1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Hombres: Est = 1.000; SE = NA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numPr>
          <w:ilvl w:val="1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Mujeres: Est = 1.263; SE = 0.120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probar la homogeneidad de la varianza, ver ejemplos de codificación</w:t>
      </w:r>
    </w:p>
    <w:bookmarkStart w:colFirst="0" w:colLast="0" w:name="bookmark=id.xvir7l" w:id="73"/>
    <w:bookmarkEnd w:id="73"/>
    <w:p w:rsidR="00000000" w:rsidDel="00000000" w:rsidP="00000000" w:rsidRDefault="00000000" w:rsidRPr="00000000" w14:paraId="0000018B">
      <w:pPr>
        <w:pStyle w:val="Heading2"/>
        <w:rPr/>
      </w:pPr>
      <w:r w:rsidDel="00000000" w:rsidR="00000000" w:rsidRPr="00000000">
        <w:rPr>
          <w:rtl w:val="0"/>
        </w:rPr>
        <w:t xml:space="preserve">Invarianza Fuerte / escalar: Recapitulación</w:t>
      </w:r>
    </w:p>
    <w:p w:rsidR="00000000" w:rsidDel="00000000" w:rsidP="00000000" w:rsidRDefault="00000000" w:rsidRPr="00000000" w14:paraId="0000018C">
      <w:pPr>
        <w:numPr>
          <w:ilvl w:val="0"/>
          <w:numId w:val="94"/>
        </w:numPr>
        <w:ind w:left="720" w:hanging="480"/>
        <w:rPr/>
      </w:pPr>
      <w:r w:rsidDel="00000000" w:rsidR="00000000" w:rsidRPr="00000000">
        <w:rPr>
          <w:b w:val="1"/>
          <w:rtl w:val="0"/>
        </w:rPr>
        <w:t xml:space="preserve">Modelo de medición</w:t>
      </w:r>
      <w:r w:rsidDel="00000000" w:rsidR="00000000" w:rsidRPr="00000000">
        <w:rPr>
          <w:rtl w:val="0"/>
        </w:rPr>
        <w:t xml:space="preserve">: Todos los pesos factoriales y umbrales son iguales a través de los grupos</w:t>
      </w:r>
    </w:p>
    <w:p w:rsidR="00000000" w:rsidDel="00000000" w:rsidP="00000000" w:rsidRDefault="00000000" w:rsidRPr="00000000" w14:paraId="0000018D">
      <w:pPr>
        <w:numPr>
          <w:ilvl w:val="0"/>
          <w:numId w:val="94"/>
        </w:numPr>
        <w:ind w:left="720" w:hanging="480"/>
        <w:rPr/>
      </w:pPr>
      <w:r w:rsidDel="00000000" w:rsidR="00000000" w:rsidRPr="00000000">
        <w:rPr>
          <w:b w:val="1"/>
          <w:rtl w:val="0"/>
        </w:rPr>
        <w:t xml:space="preserve">Modelo de población</w:t>
      </w:r>
      <w:r w:rsidDel="00000000" w:rsidR="00000000" w:rsidRPr="00000000">
        <w:rPr>
          <w:rtl w:val="0"/>
        </w:rPr>
        <w:t xml:space="preserve">: Suficiente para estimar el impacto en las (co-) varianzas y medias del factor</w:t>
      </w:r>
    </w:p>
    <w:p w:rsidR="00000000" w:rsidDel="00000000" w:rsidP="00000000" w:rsidRDefault="00000000" w:rsidRPr="00000000" w14:paraId="0000018E">
      <w:pPr>
        <w:numPr>
          <w:ilvl w:val="0"/>
          <w:numId w:val="94"/>
        </w:numPr>
        <w:ind w:left="720" w:hanging="480"/>
        <w:rPr/>
      </w:pPr>
      <w:r w:rsidDel="00000000" w:rsidR="00000000" w:rsidRPr="00000000">
        <w:rPr>
          <w:rtl w:val="0"/>
        </w:rPr>
        <w:t xml:space="preserve">Considerado aceptable para comparar grupos en puntuaciones de pruebas observadas </w:t>
      </w:r>
    </w:p>
    <w:p w:rsidR="00000000" w:rsidDel="00000000" w:rsidP="00000000" w:rsidRDefault="00000000" w:rsidRPr="00000000" w14:paraId="0000018F">
      <w:pPr>
        <w:numPr>
          <w:ilvl w:val="0"/>
          <w:numId w:val="94"/>
        </w:numPr>
        <w:ind w:left="720" w:hanging="480"/>
        <w:rPr/>
      </w:pPr>
      <w:r w:rsidDel="00000000" w:rsidR="00000000" w:rsidRPr="00000000">
        <w:rPr>
          <w:rtl w:val="0"/>
        </w:rPr>
        <w:t xml:space="preserve">Con datos categóricos, también se puede estimar la varianza de las VRL con invarianza fuerte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numPr>
          <w:ilvl w:val="1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mayoría de softwares lo harán por defecto</w:t>
      </w:r>
    </w:p>
    <w:bookmarkStart w:colFirst="0" w:colLast="0" w:name="bookmark=id.3hv69ve" w:id="74"/>
    <w:bookmarkEnd w:id="74"/>
    <w:p w:rsidR="00000000" w:rsidDel="00000000" w:rsidP="00000000" w:rsidRDefault="00000000" w:rsidRPr="00000000" w14:paraId="00000191">
      <w:pPr>
        <w:pStyle w:val="Heading2"/>
        <w:rPr/>
      </w:pPr>
      <w:r w:rsidDel="00000000" w:rsidR="00000000" w:rsidRPr="00000000">
        <w:rPr>
          <w:rtl w:val="0"/>
        </w:rPr>
        <w:t xml:space="preserve">Código de invarianza fuerte / escalar 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Fit model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fit.strong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cfa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(mod1,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data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dat,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std.lv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T,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ordered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group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"cfemale"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group.equal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"loadings"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"thresholds"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))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&lt;--- new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Print model summary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summary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(fit.strong)</w:t>
      </w:r>
      <w:r w:rsidDel="00000000" w:rsidR="00000000" w:rsidRPr="00000000">
        <w:rPr>
          <w:rtl w:val="0"/>
        </w:rPr>
      </w:r>
    </w:p>
    <w:bookmarkStart w:colFirst="0" w:colLast="0" w:name="bookmark=id.1x0gk37" w:id="75"/>
    <w:bookmarkEnd w:id="75"/>
    <w:p w:rsidR="00000000" w:rsidDel="00000000" w:rsidP="00000000" w:rsidRDefault="00000000" w:rsidRPr="00000000" w14:paraId="00000193">
      <w:pPr>
        <w:pStyle w:val="Heading2"/>
        <w:rPr/>
      </w:pPr>
      <w:r w:rsidDel="00000000" w:rsidR="00000000" w:rsidRPr="00000000">
        <w:rPr>
          <w:rtl w:val="0"/>
        </w:rPr>
        <w:t xml:space="preserve">Salida de invarianza fuerte / escalar</w:t>
      </w:r>
    </w:p>
    <w:tbl>
      <w:tblPr>
        <w:tblStyle w:val="Table10"/>
        <w:tblW w:w="9576.0" w:type="dxa"/>
        <w:jc w:val="left"/>
        <w:tblInd w:w="-108.0" w:type="dxa"/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4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4077045"/>
                  <wp:effectExtent b="0" l="0" r="0" t="0"/>
                  <wp:docPr id="16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0770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0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bookmark=id.4h042r0" w:id="76"/>
    <w:bookmarkEnd w:id="76"/>
    <w:p w:rsidR="00000000" w:rsidDel="00000000" w:rsidP="00000000" w:rsidRDefault="00000000" w:rsidRPr="00000000" w14:paraId="00000196">
      <w:pPr>
        <w:pStyle w:val="Heading2"/>
        <w:rPr/>
      </w:pPr>
      <w:r w:rsidDel="00000000" w:rsidR="00000000" w:rsidRPr="00000000">
        <w:rPr>
          <w:rtl w:val="0"/>
        </w:rPr>
        <w:t xml:space="preserve">Comparación de modelos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lavTestLRT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(fit.config, fit.weak, fit.strong)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Scaled Chi-Squared Difference Test (method = "satorra.2000")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lavaan NOTE: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The "Chisq" column contains standard test statistics, not the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robust test that should be reported per model. A robust difference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test is a function of two standard (not robust) statistics.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Df AIC BIC   Chisq Chisq diff Df diff Pr(&gt;Chisq)  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fit.config 40          37.534                                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fit.weak   47          57.126     12.091       7    0.09761 .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fit.strong 62         112.075     63.910      15    5.3e-08 ***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---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Signif. codes:  0 '***' 0.001 '**' 0.01 '*' 0.05 '.' 0.1 ' '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. .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Rechazar la invarianza fuerte usando </w:t>
      </w:r>
      <m:oMath>
        <m:r>
          <m:t>α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=.05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8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×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3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umbrales por restringidos, pero se estimó la media del rasgo latente y 8 parámetros </w:t>
      </w:r>
      <m:oMath>
        <m:r>
          <m:t>Δ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así que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df=24-1-8=15</m:t>
        </m:r>
      </m:oMath>
      <w:r w:rsidDel="00000000" w:rsidR="00000000" w:rsidRPr="00000000">
        <w:rPr>
          <w:rtl w:val="0"/>
        </w:rPr>
      </w:r>
    </w:p>
    <w:bookmarkStart w:colFirst="0" w:colLast="0" w:name="bookmark=id.2w5ecyt" w:id="77"/>
    <w:bookmarkEnd w:id="77"/>
    <w:p w:rsidR="00000000" w:rsidDel="00000000" w:rsidP="00000000" w:rsidRDefault="00000000" w:rsidRPr="00000000" w14:paraId="0000019C">
      <w:pPr>
        <w:pStyle w:val="Heading2"/>
        <w:rPr/>
      </w:pPr>
      <w:r w:rsidDel="00000000" w:rsidR="00000000" w:rsidRPr="00000000">
        <w:rPr>
          <w:rtl w:val="0"/>
        </w:rPr>
        <w:t xml:space="preserve">Resumen del ejemplo</w:t>
      </w:r>
    </w:p>
    <w:p w:rsidR="00000000" w:rsidDel="00000000" w:rsidP="00000000" w:rsidRDefault="00000000" w:rsidRPr="00000000" w14:paraId="0000019D">
      <w:pPr>
        <w:numPr>
          <w:ilvl w:val="0"/>
          <w:numId w:val="78"/>
        </w:numPr>
        <w:ind w:left="720" w:hanging="480"/>
        <w:rPr/>
      </w:pPr>
      <w:r w:rsidDel="00000000" w:rsidR="00000000" w:rsidRPr="00000000">
        <w:rPr>
          <w:rtl w:val="0"/>
        </w:rPr>
        <w:t xml:space="preserve">La invarianza fuerte con respecto al género no fue satisfecha</w:t>
      </w:r>
    </w:p>
    <w:p w:rsidR="00000000" w:rsidDel="00000000" w:rsidP="00000000" w:rsidRDefault="00000000" w:rsidRPr="00000000" w14:paraId="0000019E">
      <w:pPr>
        <w:numPr>
          <w:ilvl w:val="0"/>
          <w:numId w:val="78"/>
        </w:numPr>
        <w:ind w:left="720" w:hanging="480"/>
        <w:rPr/>
      </w:pPr>
      <w:r w:rsidDel="00000000" w:rsidR="00000000" w:rsidRPr="00000000">
        <w:rPr>
          <w:rtl w:val="0"/>
        </w:rPr>
        <w:t xml:space="preserve">En el ejemplo, la depresión fue mucho más alta en promedio para las mujeres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numPr>
          <w:ilvl w:val="1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Hombres: Est = 0.000; SE = NA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numPr>
          <w:ilvl w:val="1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Mujeres: Est = .450; SE = 0.086</w:t>
      </w:r>
    </w:p>
    <w:p w:rsidR="00000000" w:rsidDel="00000000" w:rsidP="00000000" w:rsidRDefault="00000000" w:rsidRPr="00000000" w14:paraId="000001A1">
      <w:pPr>
        <w:numPr>
          <w:ilvl w:val="0"/>
          <w:numId w:val="78"/>
        </w:numPr>
        <w:ind w:left="720" w:hanging="480"/>
        <w:rPr/>
      </w:pPr>
      <w:r w:rsidDel="00000000" w:rsidR="00000000" w:rsidRPr="00000000">
        <w:rPr>
          <w:rtl w:val="0"/>
        </w:rPr>
        <w:t xml:space="preserve">Diferencia de 0.45 DE entre grupos (DE = 1 para hombres)</w:t>
      </w:r>
    </w:p>
    <w:p w:rsidR="00000000" w:rsidDel="00000000" w:rsidP="00000000" w:rsidRDefault="00000000" w:rsidRPr="00000000" w14:paraId="000001A2">
      <w:pPr>
        <w:numPr>
          <w:ilvl w:val="0"/>
          <w:numId w:val="78"/>
        </w:numPr>
        <w:ind w:left="720" w:hanging="480"/>
        <w:rPr/>
      </w:pPr>
      <w:r w:rsidDel="00000000" w:rsidR="00000000" w:rsidRPr="00000000">
        <w:rPr>
          <w:rtl w:val="0"/>
        </w:rPr>
        <w:t xml:space="preserve">Pero no sabemos si esto se debe al sesgo de medición, impacto o ambos (porque el modelo fue rechazado)</w:t>
      </w:r>
    </w:p>
    <w:bookmarkStart w:colFirst="0" w:colLast="0" w:name="bookmark=id.1baon6m" w:id="78"/>
    <w:bookmarkEnd w:id="78"/>
    <w:p w:rsidR="00000000" w:rsidDel="00000000" w:rsidP="00000000" w:rsidRDefault="00000000" w:rsidRPr="00000000" w14:paraId="000001A3">
      <w:pPr>
        <w:pStyle w:val="Heading1"/>
        <w:rPr/>
      </w:pPr>
      <w:r w:rsidDel="00000000" w:rsidR="00000000" w:rsidRPr="00000000">
        <w:rPr>
          <w:rtl w:val="0"/>
        </w:rPr>
        <w:t xml:space="preserve">Próximos pasos</w:t>
      </w:r>
    </w:p>
    <w:bookmarkStart w:colFirst="0" w:colLast="0" w:name="bookmark=id.3vac5uf" w:id="79"/>
    <w:bookmarkEnd w:id="79"/>
    <w:p w:rsidR="00000000" w:rsidDel="00000000" w:rsidP="00000000" w:rsidRDefault="00000000" w:rsidRPr="00000000" w14:paraId="000001A4">
      <w:pPr>
        <w:pStyle w:val="Heading2"/>
        <w:rPr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1A5">
      <w:pPr>
        <w:numPr>
          <w:ilvl w:val="0"/>
          <w:numId w:val="80"/>
        </w:numPr>
        <w:ind w:left="720" w:hanging="480"/>
        <w:rPr/>
      </w:pPr>
      <w:r w:rsidDel="00000000" w:rsidR="00000000" w:rsidRPr="00000000">
        <w:rPr>
          <w:rtl w:val="0"/>
        </w:rPr>
        <w:t xml:space="preserve">Hemos visto cómo probar la IM utilizando el análisis factorial para datos categóricos</w:t>
      </w:r>
    </w:p>
    <w:p w:rsidR="00000000" w:rsidDel="00000000" w:rsidP="00000000" w:rsidRDefault="00000000" w:rsidRPr="00000000" w14:paraId="000001A6">
      <w:pPr>
        <w:numPr>
          <w:ilvl w:val="0"/>
          <w:numId w:val="80"/>
        </w:numPr>
        <w:ind w:left="720" w:hanging="480"/>
        <w:rPr/>
      </w:pPr>
      <w:r w:rsidDel="00000000" w:rsidR="00000000" w:rsidRPr="00000000">
        <w:rPr>
          <w:rtl w:val="0"/>
        </w:rPr>
        <w:t xml:space="preserve">En nuestro ejemplo, encontramos que la evaluación CINT satisfizo la invarianza métrica pero no la invarianza escalar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numPr>
          <w:ilvl w:val="1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Implicación – las comparaciones entre géneros pueden reflejar sesgo de medición, impacto o ambos</w:t>
      </w:r>
    </w:p>
    <w:p w:rsidR="00000000" w:rsidDel="00000000" w:rsidP="00000000" w:rsidRDefault="00000000" w:rsidRPr="00000000" w14:paraId="000001A8">
      <w:pPr>
        <w:numPr>
          <w:ilvl w:val="0"/>
          <w:numId w:val="80"/>
        </w:numPr>
        <w:ind w:left="720" w:hanging="480"/>
        <w:rPr/>
      </w:pPr>
      <w:r w:rsidDel="00000000" w:rsidR="00000000" w:rsidRPr="00000000">
        <w:rPr>
          <w:rtl w:val="0"/>
        </w:rPr>
        <w:t xml:space="preserve">A continuación, consideraremos cómo encontrar ítems que exhiben FDI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numPr>
          <w:ilvl w:val="1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¡Eliminar estos ítems de la evaluación asegurará que las comparaciones de medias en la CINT sean imparciales y justas con respecto al género!</w:t>
      </w:r>
    </w:p>
    <w:bookmarkStart w:colFirst="0" w:colLast="0" w:name="bookmark=id.2afmg28" w:id="80"/>
    <w:bookmarkEnd w:id="80"/>
    <w:p w:rsidR="00000000" w:rsidDel="00000000" w:rsidP="00000000" w:rsidRDefault="00000000" w:rsidRPr="00000000" w14:paraId="000001AA">
      <w:pPr>
        <w:pStyle w:val="Heading2"/>
        <w:rPr/>
      </w:pPr>
      <w:r w:rsidDel="00000000" w:rsidR="00000000" w:rsidRPr="00000000">
        <w:rPr>
          <w:rtl w:val="0"/>
        </w:rPr>
        <w:t xml:space="preserve">Lo que hemos hecho hasta ahora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 y FDI en general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Análisis factorial con datos categóricos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Pruebas de IM utilizando análisis factorial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numPr>
          <w:ilvl w:val="1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Configuracional, débil, fuerte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numPr>
          <w:ilvl w:val="1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 Apéndice y ejemplo de codificación para invarianza estricta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Ilustró métodos utilizando un ejemplo</w:t>
      </w:r>
    </w:p>
    <w:bookmarkStart w:colFirst="0" w:colLast="0" w:name="bookmark=id.pkwqa1" w:id="81"/>
    <w:bookmarkEnd w:id="81"/>
    <w:p w:rsidR="00000000" w:rsidDel="00000000" w:rsidP="00000000" w:rsidRDefault="00000000" w:rsidRPr="00000000" w14:paraId="000001B1">
      <w:pPr>
        <w:pStyle w:val="Heading2"/>
        <w:rPr/>
      </w:pPr>
      <w:r w:rsidDel="00000000" w:rsidR="00000000" w:rsidRPr="00000000">
        <w:rPr>
          <w:rtl w:val="0"/>
        </w:rPr>
        <w:t xml:space="preserve">Lo que haremos a continuación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Cambiar perspectivas a TRI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 con datos binarios y categóricos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Pruebas de FDI utilizando TRI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Ilustrar métodos utilizando un ejemplo</w:t>
      </w:r>
    </w:p>
    <w:bookmarkStart w:colFirst="0" w:colLast="0" w:name="bookmark=id.39kk8xu" w:id="82"/>
    <w:bookmarkEnd w:id="82"/>
    <w:p w:rsidR="00000000" w:rsidDel="00000000" w:rsidP="00000000" w:rsidRDefault="00000000" w:rsidRPr="00000000" w14:paraId="000001B6">
      <w:pPr>
        <w:pStyle w:val="Heading2"/>
        <w:rPr/>
      </w:pPr>
      <w:r w:rsidDel="00000000" w:rsidR="00000000" w:rsidRPr="00000000">
        <w:rPr>
          <w:rtl w:val="0"/>
        </w:rPr>
        <w:t xml:space="preserve">Referencias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Bauer, D. J. (2017). A more general model for testing measurement invariance and differential item functioning. Psychological Methods, 22(3), 507–526.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Curley, W. E., &amp; Schmitt, A. P. (1993). Revising Sat®-Verbal Items to Eliminate Differential Item Functioning. ETS Research Report Series, 1993(2), i–18.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Holland, P. W. &amp; Rosenbaum. P. R. (1986). Conditional Association and Unidimensionality in Monotone Latent Variable Models. The Annals of Statistics, 14(4), 1523–1543.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Millsap, R. E., &amp; Yun-Tein, J. (2004). Assessing Factorial Invariance in Ordered-Categorical Measures. Multivariate Behavioral Research, 39(3), 479–515.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Muthen, B., &amp; Asparouhov, T. (2002). Latent Variable Analysis With Categorical Outcomes: Multiple-Group And Growth Modeling In Mplus.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Satorra, A., &amp; Bentler, P. (2001). A scaled difference chi-square test statistic for moment structure analysis. Psychometrika, 66, 507–514.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Wu, H., &amp; Estabrook, R. (2016). Identification of Confirmatory Factor Analysis Models of Different Levels of Invariance for Ordered Categorical Outcomes. Psychometrika, 81(4), 1014–1045.</w:t>
      </w:r>
    </w:p>
    <w:bookmarkStart w:colFirst="0" w:colLast="0" w:name="bookmark=id.1opuj5n" w:id="83"/>
    <w:bookmarkEnd w:id="83"/>
    <w:p w:rsidR="00000000" w:rsidDel="00000000" w:rsidP="00000000" w:rsidRDefault="00000000" w:rsidRPr="00000000" w14:paraId="000001BE">
      <w:pPr>
        <w:pStyle w:val="Heading1"/>
        <w:rPr/>
      </w:pPr>
      <w:r w:rsidDel="00000000" w:rsidR="00000000" w:rsidRPr="00000000">
        <w:rPr>
          <w:rtl w:val="0"/>
        </w:rPr>
        <w:t xml:space="preserve">Apéndice</w:t>
      </w:r>
    </w:p>
    <w:bookmarkStart w:colFirst="0" w:colLast="0" w:name="bookmark=id.48pi1tg" w:id="84"/>
    <w:bookmarkEnd w:id="84"/>
    <w:p w:rsidR="00000000" w:rsidDel="00000000" w:rsidP="00000000" w:rsidRDefault="00000000" w:rsidRPr="00000000" w14:paraId="000001BF">
      <w:pPr>
        <w:pStyle w:val="Heading2"/>
        <w:rPr/>
      </w:pPr>
      <w:r w:rsidDel="00000000" w:rsidR="00000000" w:rsidRPr="00000000">
        <w:rPr>
          <w:rtl w:val="0"/>
        </w:rPr>
        <w:t xml:space="preserve">Invarianza estricta: Recapitulación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medición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Todos los pesos factoriales, umbrales y varianzas residuales son iguales a través de los grupos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población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Suficiente para estimar el impacto en las (co-) varianzas y medias del factor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Asegura que las puntuaciones de las pruebas sean igualmente confiables en ambos grupos</w:t>
      </w:r>
    </w:p>
    <w:bookmarkStart w:colFirst="0" w:colLast="0" w:name="bookmark=id.2nusc19" w:id="85"/>
    <w:bookmarkEnd w:id="85"/>
    <w:p w:rsidR="00000000" w:rsidDel="00000000" w:rsidP="00000000" w:rsidRDefault="00000000" w:rsidRPr="00000000" w14:paraId="000001C3">
      <w:pPr>
        <w:pStyle w:val="Heading2"/>
        <w:rPr/>
      </w:pPr>
      <w:r w:rsidDel="00000000" w:rsidR="00000000" w:rsidRPr="00000000">
        <w:rPr>
          <w:rtl w:val="0"/>
        </w:rPr>
        <w:t xml:space="preserve">Invarianza estricta vs invarianza fuerte</w:t>
      </w:r>
    </w:p>
    <w:p w:rsidR="00000000" w:rsidDel="00000000" w:rsidP="00000000" w:rsidRDefault="00000000" w:rsidRPr="00000000" w14:paraId="000001C4">
      <w:pPr>
        <w:numPr>
          <w:ilvl w:val="0"/>
          <w:numId w:val="45"/>
        </w:numPr>
        <w:ind w:left="720" w:hanging="480"/>
        <w:rPr/>
      </w:pPr>
      <w:r w:rsidDel="00000000" w:rsidR="00000000" w:rsidRPr="00000000">
        <w:rPr>
          <w:rtl w:val="0"/>
        </w:rPr>
        <w:t xml:space="preserve">En el análisis factorial para datos continuos, rara vez se prueba la invarianza estricta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numPr>
          <w:ilvl w:val="1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es necesario para estimar el impacto o comparar grupos en puntuaciones observadas</w:t>
      </w:r>
    </w:p>
    <w:p w:rsidR="00000000" w:rsidDel="00000000" w:rsidP="00000000" w:rsidRDefault="00000000" w:rsidRPr="00000000" w14:paraId="000001C6">
      <w:pPr>
        <w:numPr>
          <w:ilvl w:val="0"/>
          <w:numId w:val="45"/>
        </w:numPr>
        <w:ind w:left="720" w:hanging="480"/>
        <w:rPr/>
      </w:pPr>
      <w:r w:rsidDel="00000000" w:rsidR="00000000" w:rsidRPr="00000000">
        <w:rPr>
          <w:rtl w:val="0"/>
        </w:rPr>
        <w:t xml:space="preserve">Con datos categóricos: ¿Deberían tratarse las varianzas ("Deltas") de las VRL como parámetros reales?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numPr>
          <w:ilvl w:val="1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lo creo; ver material suplementario para otras opiniones</w:t>
      </w:r>
    </w:p>
    <w:p w:rsidR="00000000" w:rsidDel="00000000" w:rsidP="00000000" w:rsidRDefault="00000000" w:rsidRPr="00000000" w14:paraId="000001C8">
      <w:pPr>
        <w:numPr>
          <w:ilvl w:val="0"/>
          <w:numId w:val="45"/>
        </w:numPr>
        <w:ind w:left="720" w:hanging="480"/>
        <w:rPr/>
      </w:pPr>
      <w:r w:rsidDel="00000000" w:rsidR="00000000" w:rsidRPr="00000000">
        <w:rPr>
          <w:rtl w:val="0"/>
        </w:rPr>
        <w:t xml:space="preserve">Si queremos ignorar la varianza de las VRL, entonces deberíamos usar invarianza estricta en lugar de IM.</w:t>
      </w:r>
    </w:p>
    <w:p w:rsidR="00000000" w:rsidDel="00000000" w:rsidP="00000000" w:rsidRDefault="00000000" w:rsidRPr="00000000" w14:paraId="000001C9">
      <w:pPr>
        <w:numPr>
          <w:ilvl w:val="0"/>
          <w:numId w:val="45"/>
        </w:numPr>
        <w:ind w:left="720" w:hanging="480"/>
        <w:rPr/>
      </w:pPr>
      <w:r w:rsidDel="00000000" w:rsidR="00000000" w:rsidRPr="00000000">
        <w:rPr>
          <w:rtl w:val="0"/>
        </w:rPr>
        <w:t xml:space="preserve">Más fácil de hacer con la parametrización Theta, requiere algo de código nuevo en lavaan…</w:t>
      </w:r>
    </w:p>
    <w:p w:rsidR="00000000" w:rsidDel="00000000" w:rsidP="00000000" w:rsidRDefault="00000000" w:rsidRPr="00000000" w14:paraId="000001CA">
      <w:pPr>
        <w:numPr>
          <w:ilvl w:val="0"/>
          <w:numId w:val="45"/>
        </w:numPr>
        <w:ind w:left="720" w:hanging="480"/>
        <w:rPr/>
      </w:pPr>
      <w:r w:rsidDel="00000000" w:rsidR="00000000" w:rsidRPr="00000000">
        <w:rPr>
          <w:rtl w:val="0"/>
        </w:rPr>
        <w:t xml:space="preserve">En nuestro ejemplo, no hará diferencia ya que ya rechazamos la invarianza fuerte</w:t>
      </w:r>
    </w:p>
    <w:bookmarkStart w:colFirst="0" w:colLast="0" w:name="bookmark=id.1302m92" w:id="86"/>
    <w:bookmarkEnd w:id="86"/>
    <w:p w:rsidR="00000000" w:rsidDel="00000000" w:rsidP="00000000" w:rsidRDefault="00000000" w:rsidRPr="00000000" w14:paraId="000001CB">
      <w:pPr>
        <w:pStyle w:val="Heading2"/>
        <w:rPr/>
      </w:pPr>
      <w:r w:rsidDel="00000000" w:rsidR="00000000" w:rsidRPr="00000000">
        <w:rPr>
          <w:rtl w:val="0"/>
        </w:rPr>
        <w:t xml:space="preserve">Código de invarianza estricta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Model syntax to constrain Delta = 1 in both group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mod.strict &lt;-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'depression =~ cint1 + cint2 + cint4 + cint11 +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cint27 + cint28 + cint29 + cint30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  cint1 ~*~ c(1, 1)*cint1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  cint2 ~*~ c(1, 1)*cint2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  cint4 ~*~ c(1, 1)*cint4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  cint11 ~*~ c(1, 1)*cint11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  cint27 ~*~ c(1, 1)*cint27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  cint28 ~*~ c(1, 1)*cint28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  cint29 ~*~ c(1, 1)*cint29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  cint30 ~*~ c(1, 1)*cint30'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fit.strict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cfa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(mod.strict,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&lt;-- new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data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dat,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std.lv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T,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ordered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group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"cfemale"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group.equal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"loadings"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"thresholds"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))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summary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(fit.strict)</w:t>
      </w:r>
      <w:r w:rsidDel="00000000" w:rsidR="00000000" w:rsidRPr="00000000">
        <w:rPr>
          <w:rtl w:val="0"/>
        </w:rPr>
      </w:r>
    </w:p>
    <w:bookmarkStart w:colFirst="0" w:colLast="0" w:name="bookmark=id.3mzq4wv" w:id="87"/>
    <w:bookmarkEnd w:id="87"/>
    <w:p w:rsidR="00000000" w:rsidDel="00000000" w:rsidP="00000000" w:rsidRDefault="00000000" w:rsidRPr="00000000" w14:paraId="000001CD">
      <w:pPr>
        <w:pStyle w:val="Heading2"/>
        <w:rPr/>
      </w:pPr>
      <w:r w:rsidDel="00000000" w:rsidR="00000000" w:rsidRPr="00000000">
        <w:rPr>
          <w:rtl w:val="0"/>
        </w:rPr>
        <w:t xml:space="preserve">Código de invarianza estricta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lavTestLRT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(fit.config, fit.weak, fit.strict)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Scaled Chi-Squared Difference Test (method = "satorra.2000")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lavaan NOTE: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The "Chisq" column contains standard test statistics, not the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robust test that should be reported per model. A robust difference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test is a function of two standard (not robust) statistics.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Df AIC BIC   Chisq Chisq diff Df diff Pr(&gt;Chisq)  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fit.config 40          37.534                                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fit.weak   47          57.126     12.091       7    0.09761 .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fit.strict 70         121.781     73.542      23  3.411e-07 ***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---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Signif. codes:  0 '***' 0.001 '**' 0.01 '*' 0.05 '.' 0.1 ' '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. .</w:t>
      </w:r>
    </w:p>
    <w:p w:rsidR="00000000" w:rsidDel="00000000" w:rsidP="00000000" w:rsidRDefault="00000000" w:rsidRPr="00000000" w14:paraId="000001D1">
      <w:pPr>
        <w:numPr>
          <w:ilvl w:val="0"/>
          <w:numId w:val="51"/>
        </w:numPr>
        <w:ind w:left="720" w:hanging="480"/>
        <w:rPr/>
      </w:pPr>
      <w:r w:rsidDel="00000000" w:rsidR="00000000" w:rsidRPr="00000000">
        <w:rPr>
          <w:rtl w:val="0"/>
        </w:rPr>
        <w:t xml:space="preserve">Nota: </w:t>
      </w:r>
      <m:oMath>
        <m:r>
          <w:rPr>
            <w:rFonts w:ascii="Cambria Math" w:cs="Cambria Math" w:eastAsia="Cambria Math" w:hAnsi="Cambria Math"/>
          </w:rPr>
          <m:t xml:space="preserve">8</m:t>
        </m:r>
        <m:r>
          <w:rPr>
            <w:rFonts w:ascii="Cambria Math" w:cs="Cambria Math" w:eastAsia="Cambria Math" w:hAnsi="Cambria Math"/>
          </w:rPr>
          <m:t>×</m:t>
        </m:r>
        <m:r>
          <w:rPr>
            <w:rFonts w:ascii="Cambria Math" w:cs="Cambria Math" w:eastAsia="Cambria Math" w:hAnsi="Cambria Math"/>
          </w:rPr>
          <m:t xml:space="preserve">3</m:t>
        </m:r>
      </m:oMath>
      <w:r w:rsidDel="00000000" w:rsidR="00000000" w:rsidRPr="00000000">
        <w:rPr>
          <w:rtl w:val="0"/>
        </w:rPr>
        <w:t xml:space="preserve"> umbrales restringidos, pero se estimó la media del rasgo latente, así que </w:t>
      </w:r>
      <m:oMath>
        <m:r>
          <w:rPr>
            <w:rFonts w:ascii="Cambria Math" w:cs="Cambria Math" w:eastAsia="Cambria Math" w:hAnsi="Cambria Math"/>
          </w:rPr>
          <m:t xml:space="preserve">df=24-1=23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numPr>
          <w:ilvl w:val="0"/>
          <w:numId w:val="51"/>
        </w:numPr>
        <w:ind w:left="720" w:hanging="480"/>
        <w:rPr/>
      </w:pPr>
      <w:r w:rsidDel="00000000" w:rsidR="00000000" w:rsidRPr="00000000">
        <w:rPr>
          <w:rtl w:val="0"/>
        </w:rPr>
        <w:t xml:space="preserve">Creo que este es el </w:t>
      </w:r>
      <m:oMath>
        <m:r>
          <w:rPr>
            <w:rFonts w:ascii="Cambria Math" w:cs="Cambria Math" w:eastAsia="Cambria Math" w:hAnsi="Cambria Math"/>
          </w:rPr>
          <m:t xml:space="preserve">df</m:t>
        </m:r>
      </m:oMath>
      <w:r w:rsidDel="00000000" w:rsidR="00000000" w:rsidRPr="00000000">
        <w:rPr>
          <w:rtl w:val="0"/>
        </w:rPr>
        <w:t xml:space="preserve"> correcto para esta comparación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Consolas"/>
  <w:font w:name="Cambria Math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4">
    <w:lvl w:ilvl="0">
      <w:start w:val="1"/>
      <w:numFmt w:val="lowerLetter"/>
      <w:lvlText w:val="(%1)"/>
      <w:lvlJc w:val="left"/>
      <w:pPr>
        <w:ind w:left="720" w:hanging="480"/>
      </w:pPr>
      <w:rPr/>
    </w:lvl>
    <w:lvl w:ilvl="1">
      <w:start w:val="1"/>
      <w:numFmt w:val="lowerLetter"/>
      <w:lvlText w:val="(%2)"/>
      <w:lvlJc w:val="left"/>
      <w:pPr>
        <w:ind w:left="1440" w:hanging="480"/>
      </w:pPr>
      <w:rPr/>
    </w:lvl>
    <w:lvl w:ilvl="2">
      <w:start w:val="1"/>
      <w:numFmt w:val="lowerLetter"/>
      <w:lvlText w:val="(%3)"/>
      <w:lvlJc w:val="left"/>
      <w:pPr>
        <w:ind w:left="2160" w:hanging="480"/>
      </w:pPr>
      <w:rPr/>
    </w:lvl>
    <w:lvl w:ilvl="3">
      <w:start w:val="1"/>
      <w:numFmt w:val="lowerLetter"/>
      <w:lvlText w:val="(%4)"/>
      <w:lvlJc w:val="left"/>
      <w:pPr>
        <w:ind w:left="2880" w:hanging="480"/>
      </w:pPr>
      <w:rPr/>
    </w:lvl>
    <w:lvl w:ilvl="4">
      <w:start w:val="1"/>
      <w:numFmt w:val="lowerLetter"/>
      <w:lvlText w:val="(%5)"/>
      <w:lvlJc w:val="left"/>
      <w:pPr>
        <w:ind w:left="3600" w:hanging="480"/>
      </w:pPr>
      <w:rPr/>
    </w:lvl>
    <w:lvl w:ilvl="5">
      <w:start w:val="1"/>
      <w:numFmt w:val="lowerLetter"/>
      <w:lvlText w:val="(%6)"/>
      <w:lvlJc w:val="left"/>
      <w:pPr>
        <w:ind w:left="4320" w:hanging="480"/>
      </w:pPr>
      <w:rPr/>
    </w:lvl>
    <w:lvl w:ilvl="6">
      <w:start w:val="1"/>
      <w:numFmt w:val="lowerLetter"/>
      <w:lvlText w:val="(%7)"/>
      <w:lvlJc w:val="left"/>
      <w:pPr>
        <w:ind w:left="5040" w:hanging="480"/>
      </w:pPr>
      <w:rPr/>
    </w:lvl>
    <w:lvl w:ilvl="7">
      <w:start w:val="1"/>
      <w:numFmt w:val="lowerLetter"/>
      <w:lvlText w:val="(%8)"/>
      <w:lvlJc w:val="left"/>
      <w:pPr>
        <w:ind w:left="5760" w:hanging="480"/>
      </w:pPr>
      <w:rPr/>
    </w:lvl>
    <w:lvl w:ilvl="8">
      <w:start w:val="1"/>
      <w:numFmt w:val="lowerLetter"/>
      <w:lvlText w:val="(%9)"/>
      <w:lvlJc w:val="left"/>
      <w:pPr>
        <w:ind w:left="6480" w:hanging="480"/>
      </w:pPr>
      <w:rPr/>
    </w:lvl>
  </w:abstractNum>
  <w:abstractNum w:abstractNumId="5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6">
    <w:lvl w:ilvl="0">
      <w:start w:val="2"/>
      <w:numFmt w:val="lowerLetter"/>
      <w:lvlText w:val="(%1)"/>
      <w:lvlJc w:val="left"/>
      <w:pPr>
        <w:ind w:left="720" w:hanging="480"/>
      </w:pPr>
      <w:rPr/>
    </w:lvl>
    <w:lvl w:ilvl="1">
      <w:start w:val="2"/>
      <w:numFmt w:val="lowerLetter"/>
      <w:lvlText w:val="(%2)"/>
      <w:lvlJc w:val="left"/>
      <w:pPr>
        <w:ind w:left="1440" w:hanging="480"/>
      </w:pPr>
      <w:rPr/>
    </w:lvl>
    <w:lvl w:ilvl="2">
      <w:start w:val="2"/>
      <w:numFmt w:val="lowerLetter"/>
      <w:lvlText w:val="(%3)"/>
      <w:lvlJc w:val="left"/>
      <w:pPr>
        <w:ind w:left="2160" w:hanging="480"/>
      </w:pPr>
      <w:rPr/>
    </w:lvl>
    <w:lvl w:ilvl="3">
      <w:start w:val="2"/>
      <w:numFmt w:val="lowerLetter"/>
      <w:lvlText w:val="(%4)"/>
      <w:lvlJc w:val="left"/>
      <w:pPr>
        <w:ind w:left="2880" w:hanging="480"/>
      </w:pPr>
      <w:rPr/>
    </w:lvl>
    <w:lvl w:ilvl="4">
      <w:start w:val="2"/>
      <w:numFmt w:val="lowerLetter"/>
      <w:lvlText w:val="(%5)"/>
      <w:lvlJc w:val="left"/>
      <w:pPr>
        <w:ind w:left="3600" w:hanging="480"/>
      </w:pPr>
      <w:rPr/>
    </w:lvl>
    <w:lvl w:ilvl="5">
      <w:start w:val="2"/>
      <w:numFmt w:val="lowerLetter"/>
      <w:lvlText w:val="(%6)"/>
      <w:lvlJc w:val="left"/>
      <w:pPr>
        <w:ind w:left="4320" w:hanging="480"/>
      </w:pPr>
      <w:rPr/>
    </w:lvl>
    <w:lvl w:ilvl="6">
      <w:start w:val="2"/>
      <w:numFmt w:val="lowerLetter"/>
      <w:lvlText w:val="(%7)"/>
      <w:lvlJc w:val="left"/>
      <w:pPr>
        <w:ind w:left="5040" w:hanging="480"/>
      </w:pPr>
      <w:rPr/>
    </w:lvl>
    <w:lvl w:ilvl="7">
      <w:start w:val="2"/>
      <w:numFmt w:val="lowerLetter"/>
      <w:lvlText w:val="(%8)"/>
      <w:lvlJc w:val="left"/>
      <w:pPr>
        <w:ind w:left="5760" w:hanging="480"/>
      </w:pPr>
      <w:rPr/>
    </w:lvl>
    <w:lvl w:ilvl="8">
      <w:start w:val="2"/>
      <w:numFmt w:val="lowerLetter"/>
      <w:lvlText w:val="(%9)"/>
      <w:lvlJc w:val="left"/>
      <w:pPr>
        <w:ind w:left="6480" w:hanging="480"/>
      </w:pPr>
      <w:rPr/>
    </w:lvl>
  </w:abstractNum>
  <w:abstractNum w:abstractNumId="5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8">
    <w:lvl w:ilvl="0">
      <w:start w:val="3"/>
      <w:numFmt w:val="lowerLetter"/>
      <w:lvlText w:val="(%1)"/>
      <w:lvlJc w:val="left"/>
      <w:pPr>
        <w:ind w:left="720" w:hanging="480"/>
      </w:pPr>
      <w:rPr/>
    </w:lvl>
    <w:lvl w:ilvl="1">
      <w:start w:val="3"/>
      <w:numFmt w:val="lowerLetter"/>
      <w:lvlText w:val="(%2)"/>
      <w:lvlJc w:val="left"/>
      <w:pPr>
        <w:ind w:left="1440" w:hanging="480"/>
      </w:pPr>
      <w:rPr/>
    </w:lvl>
    <w:lvl w:ilvl="2">
      <w:start w:val="3"/>
      <w:numFmt w:val="lowerLetter"/>
      <w:lvlText w:val="(%3)"/>
      <w:lvlJc w:val="left"/>
      <w:pPr>
        <w:ind w:left="2160" w:hanging="480"/>
      </w:pPr>
      <w:rPr/>
    </w:lvl>
    <w:lvl w:ilvl="3">
      <w:start w:val="3"/>
      <w:numFmt w:val="lowerLetter"/>
      <w:lvlText w:val="(%4)"/>
      <w:lvlJc w:val="left"/>
      <w:pPr>
        <w:ind w:left="2880" w:hanging="480"/>
      </w:pPr>
      <w:rPr/>
    </w:lvl>
    <w:lvl w:ilvl="4">
      <w:start w:val="3"/>
      <w:numFmt w:val="lowerLetter"/>
      <w:lvlText w:val="(%5)"/>
      <w:lvlJc w:val="left"/>
      <w:pPr>
        <w:ind w:left="3600" w:hanging="480"/>
      </w:pPr>
      <w:rPr/>
    </w:lvl>
    <w:lvl w:ilvl="5">
      <w:start w:val="3"/>
      <w:numFmt w:val="lowerLetter"/>
      <w:lvlText w:val="(%6)"/>
      <w:lvlJc w:val="left"/>
      <w:pPr>
        <w:ind w:left="4320" w:hanging="480"/>
      </w:pPr>
      <w:rPr/>
    </w:lvl>
    <w:lvl w:ilvl="6">
      <w:start w:val="3"/>
      <w:numFmt w:val="lowerLetter"/>
      <w:lvlText w:val="(%7)"/>
      <w:lvlJc w:val="left"/>
      <w:pPr>
        <w:ind w:left="5040" w:hanging="480"/>
      </w:pPr>
      <w:rPr/>
    </w:lvl>
    <w:lvl w:ilvl="7">
      <w:start w:val="3"/>
      <w:numFmt w:val="lowerLetter"/>
      <w:lvlText w:val="(%8)"/>
      <w:lvlJc w:val="left"/>
      <w:pPr>
        <w:ind w:left="5760" w:hanging="480"/>
      </w:pPr>
      <w:rPr/>
    </w:lvl>
    <w:lvl w:ilvl="8">
      <w:start w:val="3"/>
      <w:numFmt w:val="lowerLetter"/>
      <w:lvlText w:val="(%9)"/>
      <w:lvlJc w:val="left"/>
      <w:pPr>
        <w:ind w:left="6480" w:hanging="480"/>
      </w:pPr>
      <w:rPr/>
    </w:lvl>
  </w:abstractNum>
  <w:abstractNum w:abstractNumId="5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2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2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2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2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2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2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2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2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2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2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3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3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3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3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3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  <w:num w:numId="131">
    <w:abstractNumId w:val="131"/>
  </w:num>
  <w:num w:numId="132">
    <w:abstractNumId w:val="132"/>
  </w:num>
  <w:num w:numId="133">
    <w:abstractNumId w:val="133"/>
  </w:num>
  <w:num w:numId="134">
    <w:abstractNumId w:val="1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s-ES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4f81bd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4f81bd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4f81bd"/>
    </w:rPr>
  </w:style>
  <w:style w:type="paragraph" w:styleId="Title">
    <w:name w:val="Title"/>
    <w:basedOn w:val="Normal"/>
    <w:next w:val="Normal"/>
    <w:pPr>
      <w:keepNext w:val="1"/>
      <w:keepLines w:val="1"/>
      <w:spacing w:after="240" w:before="480" w:lineRule="auto"/>
      <w:jc w:val="center"/>
    </w:pPr>
    <w:rPr>
      <w:rFonts w:ascii="Calibri" w:cs="Calibri" w:eastAsia="Calibri" w:hAnsi="Calibri"/>
      <w:b w:val="1"/>
      <w:color w:val="335b8a"/>
      <w:sz w:val="36"/>
      <w:szCs w:val="3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BodyText"/>
    <w:uiPriority w:val="9"/>
    <w:qFormat w:val="1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link w:val="Heading2Char"/>
    <w:uiPriority w:val="9"/>
    <w:unhideWhenUsed w:val="1"/>
    <w:qFormat w:val="1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 w:val="1"/>
    <w:qFormat w:val="1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Heading4">
    <w:name w:val="heading 4"/>
    <w:basedOn w:val="Normal"/>
    <w:next w:val="BodyText"/>
    <w:uiPriority w:val="9"/>
    <w:unhideWhenUsed w:val="1"/>
    <w:qFormat w:val="1"/>
    <w:pPr>
      <w:keepNext w:val="1"/>
      <w:keepLines w:val="1"/>
      <w:spacing w:after="0" w:before="200"/>
      <w:outlineLvl w:val="3"/>
    </w:pPr>
    <w:rPr>
      <w:rFonts w:asciiTheme="majorHAnsi" w:cstheme="majorBidi" w:eastAsiaTheme="majorEastAsia" w:hAnsiTheme="majorHAnsi"/>
      <w:bCs w:val="1"/>
      <w:i w:val="1"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 w:val="1"/>
    <w:qFormat w:val="1"/>
    <w:pPr>
      <w:keepNext w:val="1"/>
      <w:keepLines w:val="1"/>
      <w:spacing w:after="0" w:before="200"/>
      <w:outlineLvl w:val="4"/>
    </w:pPr>
    <w:rPr>
      <w:rFonts w:asciiTheme="majorHAnsi" w:cstheme="majorBidi" w:eastAsiaTheme="majorEastAsia" w:hAnsiTheme="majorHAnsi"/>
      <w:iCs w:val="1"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 w:val="1"/>
    <w:qFormat w:val="1"/>
    <w:pPr>
      <w:keepNext w:val="1"/>
      <w:keepLines w:val="1"/>
      <w:spacing w:after="0" w:before="200"/>
      <w:outlineLvl w:val="5"/>
    </w:pPr>
    <w:rPr>
      <w:rFonts w:asciiTheme="majorHAnsi" w:cstheme="majorBidi" w:eastAsiaTheme="majorEastAsia" w:hAnsiTheme="majorHAns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 w:val="1"/>
    <w:qFormat w:val="1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 w:val="1"/>
    <w:qFormat w:val="1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 w:val="1"/>
    <w:qFormat w:val="1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color w:val="4f81bd" w:themeColor="accent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qFormat w:val="1"/>
    <w:pPr>
      <w:spacing w:after="180" w:before="180"/>
    </w:pPr>
  </w:style>
  <w:style w:type="paragraph" w:styleId="FirstParagraph" w:customStyle="1">
    <w:name w:val="First Paragraph"/>
    <w:basedOn w:val="BodyText"/>
    <w:next w:val="BodyText"/>
    <w:qFormat w:val="1"/>
  </w:style>
  <w:style w:type="paragraph" w:styleId="Compact" w:customStyle="1">
    <w:name w:val="Compact"/>
    <w:basedOn w:val="BodyText"/>
    <w:qFormat w:val="1"/>
    <w:pPr>
      <w:spacing w:after="36" w:before="36"/>
    </w:pPr>
  </w:style>
  <w:style w:type="paragraph" w:styleId="Title">
    <w:name w:val="Title"/>
    <w:basedOn w:val="Normal"/>
    <w:next w:val="BodyText"/>
    <w:qFormat w:val="1"/>
    <w:pPr>
      <w:keepNext w:val="1"/>
      <w:keepLines w:val="1"/>
      <w:spacing w:after="240" w:before="480"/>
      <w:jc w:val="center"/>
    </w:pPr>
    <w:rPr>
      <w:rFonts w:asciiTheme="majorHAnsi" w:cstheme="majorBidi" w:eastAsiaTheme="majorEastAsia" w:hAnsiTheme="majorHAnsi"/>
      <w:b w:val="1"/>
      <w:bCs w:val="1"/>
      <w:color w:val="345a8a" w:themeColor="accent1" w:themeShade="0000B5"/>
      <w:sz w:val="36"/>
      <w:szCs w:val="36"/>
    </w:rPr>
  </w:style>
  <w:style w:type="paragraph" w:styleId="Subtitle">
    <w:name w:val="Subtitle"/>
    <w:basedOn w:val="Title"/>
    <w:next w:val="BodyText"/>
    <w:qFormat w:val="1"/>
    <w:pPr>
      <w:spacing w:before="240"/>
    </w:pPr>
    <w:rPr>
      <w:sz w:val="30"/>
      <w:szCs w:val="30"/>
    </w:rPr>
  </w:style>
  <w:style w:type="paragraph" w:styleId="Author" w:customStyle="1">
    <w:name w:val="Author"/>
    <w:next w:val="BodyText"/>
    <w:qFormat w:val="1"/>
    <w:pPr>
      <w:keepNext w:val="1"/>
      <w:keepLines w:val="1"/>
      <w:jc w:val="center"/>
    </w:pPr>
  </w:style>
  <w:style w:type="paragraph" w:styleId="Date">
    <w:name w:val="Date"/>
    <w:next w:val="BodyText"/>
    <w:qFormat w:val="1"/>
    <w:pPr>
      <w:keepNext w:val="1"/>
      <w:keepLines w:val="1"/>
      <w:jc w:val="center"/>
    </w:pPr>
  </w:style>
  <w:style w:type="paragraph" w:styleId="Abstract" w:customStyle="1">
    <w:name w:val="Abstract"/>
    <w:basedOn w:val="Normal"/>
    <w:next w:val="BodyText"/>
    <w:qFormat w:val="1"/>
    <w:pPr>
      <w:keepNext w:val="1"/>
      <w:keepLines w:val="1"/>
      <w:spacing w:after="300" w:before="300"/>
    </w:pPr>
    <w:rPr>
      <w:sz w:val="20"/>
      <w:szCs w:val="20"/>
    </w:rPr>
  </w:style>
  <w:style w:type="paragraph" w:styleId="Bibliography">
    <w:name w:val="Bibliography"/>
    <w:basedOn w:val="Normal"/>
    <w:qFormat w:val="1"/>
  </w:style>
  <w:style w:type="paragraph" w:styleId="BlockText">
    <w:name w:val="Block Text"/>
    <w:basedOn w:val="BodyText"/>
    <w:next w:val="BodyText"/>
    <w:uiPriority w:val="9"/>
    <w:unhideWhenUsed w:val="1"/>
    <w:qFormat w:val="1"/>
    <w:pPr>
      <w:spacing w:after="100" w:before="100"/>
      <w:ind w:left="480" w:right="480"/>
    </w:pPr>
  </w:style>
  <w:style w:type="paragraph" w:styleId="FootnoteText">
    <w:name w:val="footnote text"/>
    <w:basedOn w:val="Normal"/>
    <w:uiPriority w:val="9"/>
    <w:unhideWhenUsed w:val="1"/>
    <w:qFormat w:val="1"/>
  </w:style>
  <w:style w:type="table" w:styleId="Table" w:customStyle="1">
    <w:name w:val="Table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type="paragraph" w:styleId="DefinitionTerm" w:customStyle="1">
    <w:name w:val="Definition Term"/>
    <w:basedOn w:val="Normal"/>
    <w:next w:val="Definition"/>
    <w:pPr>
      <w:keepNext w:val="1"/>
      <w:keepLines w:val="1"/>
      <w:spacing w:after="0"/>
    </w:pPr>
    <w:rPr>
      <w:b w:val="1"/>
    </w:rPr>
  </w:style>
  <w:style w:type="paragraph" w:styleId="Definition" w:customStyle="1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 w:val="1"/>
    </w:rPr>
  </w:style>
  <w:style w:type="paragraph" w:styleId="TableCaption" w:customStyle="1">
    <w:name w:val="Table Caption"/>
    <w:basedOn w:val="Caption"/>
    <w:pPr>
      <w:keepNext w:val="1"/>
    </w:pPr>
  </w:style>
  <w:style w:type="paragraph" w:styleId="ImageCaption" w:customStyle="1">
    <w:name w:val="Image Caption"/>
    <w:basedOn w:val="Caption"/>
  </w:style>
  <w:style w:type="paragraph" w:styleId="Figure" w:customStyle="1">
    <w:name w:val="Figure"/>
    <w:basedOn w:val="Normal"/>
  </w:style>
  <w:style w:type="paragraph" w:styleId="CaptionedFigure" w:customStyle="1">
    <w:name w:val="Captioned Figure"/>
    <w:basedOn w:val="Figure"/>
    <w:pPr>
      <w:keepNext w:val="1"/>
    </w:pPr>
  </w:style>
  <w:style w:type="character" w:styleId="CaptionChar" w:customStyle="1">
    <w:name w:val="Caption Char"/>
    <w:basedOn w:val="DefaultParagraphFont"/>
    <w:link w:val="Caption"/>
  </w:style>
  <w:style w:type="character" w:styleId="VerbatimChar" w:customStyle="1">
    <w:name w:val="Verbatim Char"/>
    <w:basedOn w:val="CaptionChar"/>
    <w:link w:val="SourceCode"/>
    <w:rPr>
      <w:rFonts w:ascii="Consolas" w:hAnsi="Consolas"/>
      <w:sz w:val="22"/>
    </w:rPr>
  </w:style>
  <w:style w:type="character" w:styleId="SectionNumber" w:customStyle="1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 w:val="1"/>
    <w:qFormat w:val="1"/>
    <w:pPr>
      <w:spacing w:before="240" w:line="259" w:lineRule="auto"/>
      <w:outlineLvl w:val="9"/>
    </w:pPr>
    <w:rPr>
      <w:b w:val="0"/>
      <w:bCs w:val="0"/>
      <w:color w:val="365f91" w:themeColor="accent1" w:themeShade="0000BF"/>
    </w:rPr>
  </w:style>
  <w:style w:type="paragraph" w:styleId="SourceCode" w:customStyle="1">
    <w:name w:val="Source Code"/>
    <w:basedOn w:val="Normal"/>
    <w:link w:val="VerbatimChar"/>
    <w:pPr>
      <w:shd w:color="auto" w:fill="f1f3f5" w:val="clear"/>
      <w:wordWrap w:val="0"/>
    </w:pPr>
  </w:style>
  <w:style w:type="character" w:styleId="KeywordTok" w:customStyle="1">
    <w:name w:val="KeywordTok"/>
    <w:basedOn w:val="VerbatimChar"/>
    <w:rPr>
      <w:rFonts w:ascii="Consolas" w:hAnsi="Consolas"/>
      <w:color w:val="003b4f"/>
      <w:sz w:val="22"/>
      <w:shd w:color="auto" w:fill="f1f3f5" w:val="clear"/>
    </w:rPr>
  </w:style>
  <w:style w:type="character" w:styleId="DataTypeTok" w:customStyle="1">
    <w:name w:val="DataTypeTok"/>
    <w:basedOn w:val="VerbatimChar"/>
    <w:rPr>
      <w:rFonts w:ascii="Consolas" w:hAnsi="Consolas"/>
      <w:color w:val="ad0000"/>
      <w:sz w:val="22"/>
      <w:shd w:color="auto" w:fill="f1f3f5" w:val="clear"/>
    </w:rPr>
  </w:style>
  <w:style w:type="character" w:styleId="DecValTok" w:customStyle="1">
    <w:name w:val="DecValTok"/>
    <w:basedOn w:val="VerbatimChar"/>
    <w:rPr>
      <w:rFonts w:ascii="Consolas" w:hAnsi="Consolas"/>
      <w:color w:val="ad0000"/>
      <w:sz w:val="22"/>
      <w:shd w:color="auto" w:fill="f1f3f5" w:val="clear"/>
    </w:rPr>
  </w:style>
  <w:style w:type="character" w:styleId="BaseNTok" w:customStyle="1">
    <w:name w:val="BaseNTok"/>
    <w:basedOn w:val="VerbatimChar"/>
    <w:rPr>
      <w:rFonts w:ascii="Consolas" w:hAnsi="Consolas"/>
      <w:color w:val="ad0000"/>
      <w:sz w:val="22"/>
      <w:shd w:color="auto" w:fill="f1f3f5" w:val="clear"/>
    </w:rPr>
  </w:style>
  <w:style w:type="character" w:styleId="FloatTok" w:customStyle="1">
    <w:name w:val="FloatTok"/>
    <w:basedOn w:val="VerbatimChar"/>
    <w:rPr>
      <w:rFonts w:ascii="Consolas" w:hAnsi="Consolas"/>
      <w:color w:val="ad0000"/>
      <w:sz w:val="22"/>
      <w:shd w:color="auto" w:fill="f1f3f5" w:val="clear"/>
    </w:rPr>
  </w:style>
  <w:style w:type="character" w:styleId="ConstantTok" w:customStyle="1">
    <w:name w:val="ConstantTok"/>
    <w:basedOn w:val="VerbatimChar"/>
    <w:rPr>
      <w:rFonts w:ascii="Consolas" w:hAnsi="Consolas"/>
      <w:color w:val="8f5902"/>
      <w:sz w:val="22"/>
      <w:shd w:color="auto" w:fill="f1f3f5" w:val="clear"/>
    </w:rPr>
  </w:style>
  <w:style w:type="character" w:styleId="CharTok" w:customStyle="1">
    <w:name w:val="CharTok"/>
    <w:basedOn w:val="VerbatimChar"/>
    <w:rPr>
      <w:rFonts w:ascii="Consolas" w:hAnsi="Consolas"/>
      <w:color w:val="20794d"/>
      <w:sz w:val="22"/>
      <w:shd w:color="auto" w:fill="f1f3f5" w:val="clear"/>
    </w:rPr>
  </w:style>
  <w:style w:type="character" w:styleId="SpecialCharTok" w:customStyle="1">
    <w:name w:val="SpecialCharTok"/>
    <w:basedOn w:val="VerbatimChar"/>
    <w:rPr>
      <w:rFonts w:ascii="Consolas" w:hAnsi="Consolas"/>
      <w:color w:val="5e5e5e"/>
      <w:sz w:val="22"/>
      <w:shd w:color="auto" w:fill="f1f3f5" w:val="clear"/>
    </w:rPr>
  </w:style>
  <w:style w:type="character" w:styleId="StringTok" w:customStyle="1">
    <w:name w:val="StringTok"/>
    <w:basedOn w:val="VerbatimChar"/>
    <w:rPr>
      <w:rFonts w:ascii="Consolas" w:hAnsi="Consolas"/>
      <w:color w:val="20794d"/>
      <w:sz w:val="22"/>
      <w:shd w:color="auto" w:fill="f1f3f5" w:val="clear"/>
    </w:rPr>
  </w:style>
  <w:style w:type="character" w:styleId="VerbatimStringTok" w:customStyle="1">
    <w:name w:val="VerbatimStringTok"/>
    <w:basedOn w:val="VerbatimChar"/>
    <w:rPr>
      <w:rFonts w:ascii="Consolas" w:hAnsi="Consolas"/>
      <w:color w:val="20794d"/>
      <w:sz w:val="22"/>
      <w:shd w:color="auto" w:fill="f1f3f5" w:val="clear"/>
    </w:rPr>
  </w:style>
  <w:style w:type="character" w:styleId="SpecialStringTok" w:customStyle="1">
    <w:name w:val="SpecialStringTok"/>
    <w:basedOn w:val="VerbatimChar"/>
    <w:rPr>
      <w:rFonts w:ascii="Consolas" w:hAnsi="Consolas"/>
      <w:color w:val="20794d"/>
      <w:sz w:val="22"/>
      <w:shd w:color="auto" w:fill="f1f3f5" w:val="clear"/>
    </w:rPr>
  </w:style>
  <w:style w:type="character" w:styleId="ImportTok" w:customStyle="1">
    <w:name w:val="ImportTok"/>
    <w:basedOn w:val="VerbatimChar"/>
    <w:rPr>
      <w:rFonts w:ascii="Consolas" w:hAnsi="Consolas"/>
      <w:color w:val="00769e"/>
      <w:sz w:val="22"/>
      <w:shd w:color="auto" w:fill="f1f3f5" w:val="clear"/>
    </w:rPr>
  </w:style>
  <w:style w:type="character" w:styleId="CommentTok" w:customStyle="1">
    <w:name w:val="CommentTok"/>
    <w:basedOn w:val="VerbatimChar"/>
    <w:rPr>
      <w:rFonts w:ascii="Consolas" w:hAnsi="Consolas"/>
      <w:color w:val="5e5e5e"/>
      <w:sz w:val="22"/>
      <w:shd w:color="auto" w:fill="f1f3f5" w:val="clear"/>
    </w:rPr>
  </w:style>
  <w:style w:type="character" w:styleId="DocumentationTok" w:customStyle="1">
    <w:name w:val="DocumentationTok"/>
    <w:basedOn w:val="VerbatimChar"/>
    <w:rPr>
      <w:rFonts w:ascii="Consolas" w:hAnsi="Consolas"/>
      <w:i w:val="1"/>
      <w:color w:val="5e5e5e"/>
      <w:sz w:val="22"/>
      <w:shd w:color="auto" w:fill="f1f3f5" w:val="clear"/>
    </w:rPr>
  </w:style>
  <w:style w:type="character" w:styleId="AnnotationTok" w:customStyle="1">
    <w:name w:val="AnnotationTok"/>
    <w:basedOn w:val="VerbatimChar"/>
    <w:rPr>
      <w:rFonts w:ascii="Consolas" w:hAnsi="Consolas"/>
      <w:color w:val="5e5e5e"/>
      <w:sz w:val="22"/>
      <w:shd w:color="auto" w:fill="f1f3f5" w:val="clear"/>
    </w:rPr>
  </w:style>
  <w:style w:type="character" w:styleId="CommentVarTok" w:customStyle="1">
    <w:name w:val="CommentVarTok"/>
    <w:basedOn w:val="VerbatimChar"/>
    <w:rPr>
      <w:rFonts w:ascii="Consolas" w:hAnsi="Consolas"/>
      <w:i w:val="1"/>
      <w:color w:val="5e5e5e"/>
      <w:sz w:val="22"/>
      <w:shd w:color="auto" w:fill="f1f3f5" w:val="clear"/>
    </w:rPr>
  </w:style>
  <w:style w:type="character" w:styleId="OtherTok" w:customStyle="1">
    <w:name w:val="OtherTok"/>
    <w:basedOn w:val="VerbatimChar"/>
    <w:rPr>
      <w:rFonts w:ascii="Consolas" w:hAnsi="Consolas"/>
      <w:color w:val="003b4f"/>
      <w:sz w:val="22"/>
      <w:shd w:color="auto" w:fill="f1f3f5" w:val="clear"/>
    </w:rPr>
  </w:style>
  <w:style w:type="character" w:styleId="FunctionTok" w:customStyle="1">
    <w:name w:val="FunctionTok"/>
    <w:basedOn w:val="VerbatimChar"/>
    <w:rPr>
      <w:rFonts w:ascii="Consolas" w:hAnsi="Consolas"/>
      <w:color w:val="4758ab"/>
      <w:sz w:val="22"/>
      <w:shd w:color="auto" w:fill="f1f3f5" w:val="clear"/>
    </w:rPr>
  </w:style>
  <w:style w:type="character" w:styleId="VariableTok" w:customStyle="1">
    <w:name w:val="VariableTok"/>
    <w:basedOn w:val="VerbatimChar"/>
    <w:rPr>
      <w:rFonts w:ascii="Consolas" w:hAnsi="Consolas"/>
      <w:color w:val="111111"/>
      <w:sz w:val="22"/>
      <w:shd w:color="auto" w:fill="f1f3f5" w:val="clear"/>
    </w:rPr>
  </w:style>
  <w:style w:type="character" w:styleId="ControlFlowTok" w:customStyle="1">
    <w:name w:val="ControlFlowTok"/>
    <w:basedOn w:val="VerbatimChar"/>
    <w:rPr>
      <w:rFonts w:ascii="Consolas" w:hAnsi="Consolas"/>
      <w:color w:val="003b4f"/>
      <w:sz w:val="22"/>
      <w:shd w:color="auto" w:fill="f1f3f5" w:val="clear"/>
    </w:rPr>
  </w:style>
  <w:style w:type="character" w:styleId="OperatorTok" w:customStyle="1">
    <w:name w:val="OperatorTok"/>
    <w:basedOn w:val="VerbatimChar"/>
    <w:rPr>
      <w:rFonts w:ascii="Consolas" w:hAnsi="Consolas"/>
      <w:color w:val="5e5e5e"/>
      <w:sz w:val="22"/>
      <w:shd w:color="auto" w:fill="f1f3f5" w:val="clear"/>
    </w:rPr>
  </w:style>
  <w:style w:type="character" w:styleId="BuiltInTok" w:customStyle="1">
    <w:name w:val="BuiltInTok"/>
    <w:basedOn w:val="VerbatimChar"/>
    <w:rPr>
      <w:rFonts w:ascii="Consolas" w:hAnsi="Consolas"/>
      <w:color w:val="003b4f"/>
      <w:sz w:val="22"/>
      <w:shd w:color="auto" w:fill="f1f3f5" w:val="clear"/>
    </w:rPr>
  </w:style>
  <w:style w:type="character" w:styleId="ExtensionTok" w:customStyle="1">
    <w:name w:val="ExtensionTok"/>
    <w:basedOn w:val="VerbatimChar"/>
    <w:rPr>
      <w:rFonts w:ascii="Consolas" w:hAnsi="Consolas"/>
      <w:color w:val="003b4f"/>
      <w:sz w:val="22"/>
      <w:shd w:color="auto" w:fill="f1f3f5" w:val="clear"/>
    </w:rPr>
  </w:style>
  <w:style w:type="character" w:styleId="PreprocessorTok" w:customStyle="1">
    <w:name w:val="PreprocessorTok"/>
    <w:basedOn w:val="VerbatimChar"/>
    <w:rPr>
      <w:rFonts w:ascii="Consolas" w:hAnsi="Consolas"/>
      <w:color w:val="ad0000"/>
      <w:sz w:val="22"/>
      <w:shd w:color="auto" w:fill="f1f3f5" w:val="clear"/>
    </w:rPr>
  </w:style>
  <w:style w:type="character" w:styleId="AttributeTok" w:customStyle="1">
    <w:name w:val="AttributeTok"/>
    <w:basedOn w:val="VerbatimChar"/>
    <w:rPr>
      <w:rFonts w:ascii="Consolas" w:hAnsi="Consolas"/>
      <w:color w:val="657422"/>
      <w:sz w:val="22"/>
      <w:shd w:color="auto" w:fill="f1f3f5" w:val="clear"/>
    </w:rPr>
  </w:style>
  <w:style w:type="character" w:styleId="RegionMarkerTok" w:customStyle="1">
    <w:name w:val="RegionMarkerTok"/>
    <w:basedOn w:val="VerbatimChar"/>
    <w:rPr>
      <w:rFonts w:ascii="Consolas" w:hAnsi="Consolas"/>
      <w:color w:val="003b4f"/>
      <w:sz w:val="22"/>
      <w:shd w:color="auto" w:fill="f1f3f5" w:val="clear"/>
    </w:rPr>
  </w:style>
  <w:style w:type="character" w:styleId="InformationTok" w:customStyle="1">
    <w:name w:val="InformationTok"/>
    <w:basedOn w:val="VerbatimChar"/>
    <w:rPr>
      <w:rFonts w:ascii="Consolas" w:hAnsi="Consolas"/>
      <w:color w:val="5e5e5e"/>
      <w:sz w:val="22"/>
      <w:shd w:color="auto" w:fill="f1f3f5" w:val="clear"/>
    </w:rPr>
  </w:style>
  <w:style w:type="character" w:styleId="WarningTok" w:customStyle="1">
    <w:name w:val="WarningTok"/>
    <w:basedOn w:val="VerbatimChar"/>
    <w:rPr>
      <w:rFonts w:ascii="Consolas" w:hAnsi="Consolas"/>
      <w:i w:val="1"/>
      <w:color w:val="5e5e5e"/>
      <w:sz w:val="22"/>
      <w:shd w:color="auto" w:fill="f1f3f5" w:val="clear"/>
    </w:rPr>
  </w:style>
  <w:style w:type="character" w:styleId="AlertTok" w:customStyle="1">
    <w:name w:val="AlertTok"/>
    <w:basedOn w:val="VerbatimChar"/>
    <w:rPr>
      <w:rFonts w:ascii="Consolas" w:hAnsi="Consolas"/>
      <w:color w:val="ad0000"/>
      <w:sz w:val="22"/>
      <w:shd w:color="auto" w:fill="f1f3f5" w:val="clear"/>
    </w:rPr>
  </w:style>
  <w:style w:type="character" w:styleId="ErrorTok" w:customStyle="1">
    <w:name w:val="ErrorTok"/>
    <w:basedOn w:val="VerbatimChar"/>
    <w:rPr>
      <w:rFonts w:ascii="Consolas" w:hAnsi="Consolas"/>
      <w:color w:val="ad0000"/>
      <w:sz w:val="22"/>
      <w:shd w:color="auto" w:fill="f1f3f5" w:val="clear"/>
    </w:rPr>
  </w:style>
  <w:style w:type="character" w:styleId="NormalTok" w:customStyle="1">
    <w:name w:val="NormalTok"/>
    <w:basedOn w:val="VerbatimChar"/>
    <w:rPr>
      <w:rFonts w:ascii="Consolas" w:hAnsi="Consolas"/>
      <w:color w:val="003b4f"/>
      <w:sz w:val="22"/>
      <w:shd w:color="auto" w:fill="f1f3f5" w:val="clear"/>
    </w:rPr>
  </w:style>
  <w:style w:type="character" w:styleId="Heading2Char" w:customStyle="1">
    <w:name w:val="Heading 2 Char"/>
    <w:basedOn w:val="DefaultParagraphFont"/>
    <w:link w:val="Heading2"/>
    <w:uiPriority w:val="9"/>
    <w:rsid w:val="0092659E"/>
    <w:rPr>
      <w:rFonts w:asciiTheme="majorHAnsi" w:cstheme="majorBidi" w:eastAsiaTheme="majorEastAsia" w:hAnsiTheme="majorHAnsi"/>
      <w:b w:val="1"/>
      <w:bCs w:val="1"/>
      <w:color w:val="4f81bd" w:themeColor="accent1"/>
      <w:sz w:val="28"/>
      <w:szCs w:val="28"/>
    </w:rPr>
  </w:style>
  <w:style w:type="paragraph" w:styleId="ListParagraph">
    <w:name w:val="List Paragraph"/>
    <w:basedOn w:val="Normal"/>
    <w:rsid w:val="001F520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240" w:before="240" w:lineRule="auto"/>
      <w:jc w:val="center"/>
    </w:pPr>
    <w:rPr>
      <w:rFonts w:ascii="Calibri" w:cs="Calibri" w:eastAsia="Calibri" w:hAnsi="Calibri"/>
      <w:b w:val="1"/>
      <w:color w:val="335b8a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1.png"/><Relationship Id="rId22" Type="http://schemas.openxmlformats.org/officeDocument/2006/relationships/image" Target="media/image4.png"/><Relationship Id="rId10" Type="http://schemas.openxmlformats.org/officeDocument/2006/relationships/image" Target="media/image3.png"/><Relationship Id="rId21" Type="http://schemas.openxmlformats.org/officeDocument/2006/relationships/image" Target="media/image6.png"/><Relationship Id="rId13" Type="http://schemas.openxmlformats.org/officeDocument/2006/relationships/image" Target="media/image17.png"/><Relationship Id="rId24" Type="http://schemas.openxmlformats.org/officeDocument/2006/relationships/image" Target="media/image10.png"/><Relationship Id="rId12" Type="http://schemas.openxmlformats.org/officeDocument/2006/relationships/image" Target="media/image2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3.png"/><Relationship Id="rId14" Type="http://schemas.openxmlformats.org/officeDocument/2006/relationships/image" Target="media/image11.png"/><Relationship Id="rId17" Type="http://schemas.openxmlformats.org/officeDocument/2006/relationships/image" Target="media/image5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customXml" Target="../customXML/item1.xml"/><Relationship Id="rId18" Type="http://schemas.openxmlformats.org/officeDocument/2006/relationships/image" Target="media/image15.png"/><Relationship Id="rId7" Type="http://schemas.openxmlformats.org/officeDocument/2006/relationships/hyperlink" Target="https://peterhalpin.github.io/RDIF-workshop/" TargetMode="External"/><Relationship Id="rId8" Type="http://schemas.openxmlformats.org/officeDocument/2006/relationships/image" Target="media/image1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++7pszrOkQbTkrFP4mZ4ucnHWA==">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mlkLjFydndwMXEyCmlkLjRidms3cGoyCmlkLjJyMHVoeGMyCmlkLjE2NjRzNTUyCmlkLjNxNXNhc3kyCmlkLjI1YjJsMHIyCWlkLmtnY3Y4azIKaWQuMzRnMGR3ZDIKaWQuMWpsYW80NjIKaWQuNDNreTZyejIKaWQuMmlxOGd6czIJaWQueHZpcjdsMgppZC4zaHY2OXZlMgppZC4xeDBnazM3MgppZC40aDA0MnIwMgppZC4ydzVlY3l0MgppZC4xYmFvbjZtMgppZC4zdmFjNXVmMgppZC4yYWZtZzI4MglpZC5wa3dxYTEyCmlkLjM5a2s4eHUyCmlkLjFvcHVqNW4yCmlkLjQ4cGkxdGcyCmlkLjJudXNjMTkyCmlkLjEzMDJtOTIyCmlkLjNtenE0d3Y4AHIhMTJ6a240cFJRRXpnT2N6dXViVGpUVkdiM0lUTTFMWF95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2023-11-27T21:07:00Z</dcterms:created>
  <dc:creator>Peter F. Halpin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header-includes">
    <vt:lpwstr/>
  </property>
  <property fmtid="{D5CDD505-2E9C-101B-9397-08002B2CF9AE}" pid="6" name="include-after">
    <vt:lpwstr/>
  </property>
  <property fmtid="{D5CDD505-2E9C-101B-9397-08002B2CF9AE}" pid="7" name="include-before">
    <vt:lpwstr/>
  </property>
  <property fmtid="{D5CDD505-2E9C-101B-9397-08002B2CF9AE}" pid="8" name="labels">
    <vt:lpwstr/>
  </property>
  <property fmtid="{D5CDD505-2E9C-101B-9397-08002B2CF9AE}" pid="9" name="toc-title">
    <vt:lpwstr>Table of contents</vt:lpwstr>
  </property>
</Properties>
</file>